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BF5C5" w14:textId="77777777" w:rsidR="0093190D" w:rsidRPr="0093190D" w:rsidRDefault="0093190D" w:rsidP="00F17711">
      <w:pPr>
        <w:spacing w:after="0" w:line="360" w:lineRule="auto"/>
        <w:ind w:right="-1180"/>
        <w:jc w:val="center"/>
        <w:rPr>
          <w:rFonts w:ascii="Century Gothic" w:eastAsia="Times New Roman" w:hAnsi="Century Gothic" w:cs="Calibri"/>
          <w:b/>
          <w:bCs/>
          <w:color w:val="000000"/>
          <w:lang w:eastAsia="sk-SK"/>
        </w:rPr>
      </w:pPr>
      <w:r w:rsidRPr="0093190D">
        <w:rPr>
          <w:rFonts w:ascii="Century Gothic" w:eastAsia="Times New Roman" w:hAnsi="Century Gothic" w:cs="Calibri"/>
          <w:b/>
          <w:bCs/>
          <w:color w:val="000000"/>
          <w:lang w:eastAsia="sk-SK"/>
        </w:rPr>
        <w:t>Témy dizertačných prác pre uchádzačov o doktorandské štúdium</w:t>
      </w:r>
    </w:p>
    <w:p w14:paraId="3040334D" w14:textId="3672B1AF" w:rsidR="0093190D" w:rsidRDefault="0093190D" w:rsidP="00F17711">
      <w:pPr>
        <w:spacing w:after="0" w:line="360" w:lineRule="auto"/>
        <w:ind w:right="-1180"/>
        <w:jc w:val="center"/>
        <w:rPr>
          <w:rFonts w:ascii="Century Gothic" w:eastAsia="Times New Roman" w:hAnsi="Century Gothic" w:cs="Calibri"/>
          <w:b/>
          <w:bCs/>
          <w:color w:val="000000"/>
          <w:lang w:eastAsia="sk-SK"/>
        </w:rPr>
      </w:pPr>
      <w:r w:rsidRPr="0093190D">
        <w:rPr>
          <w:rFonts w:ascii="Century Gothic" w:eastAsia="Times New Roman" w:hAnsi="Century Gothic" w:cs="Calibri"/>
          <w:b/>
          <w:bCs/>
          <w:color w:val="000000"/>
          <w:lang w:eastAsia="sk-SK"/>
        </w:rPr>
        <w:t>pre ak. rok 202</w:t>
      </w:r>
      <w:r w:rsidR="00EC7DCB">
        <w:rPr>
          <w:rFonts w:ascii="Century Gothic" w:eastAsia="Times New Roman" w:hAnsi="Century Gothic" w:cs="Calibri"/>
          <w:b/>
          <w:bCs/>
          <w:color w:val="000000"/>
          <w:lang w:eastAsia="sk-SK"/>
        </w:rPr>
        <w:t>6</w:t>
      </w:r>
      <w:r w:rsidRPr="0093190D">
        <w:rPr>
          <w:rFonts w:ascii="Century Gothic" w:eastAsia="Times New Roman" w:hAnsi="Century Gothic" w:cs="Calibri"/>
          <w:b/>
          <w:bCs/>
          <w:color w:val="000000"/>
          <w:lang w:eastAsia="sk-SK"/>
        </w:rPr>
        <w:t>/202</w:t>
      </w:r>
      <w:r w:rsidR="00EC7DCB">
        <w:rPr>
          <w:rFonts w:ascii="Century Gothic" w:eastAsia="Times New Roman" w:hAnsi="Century Gothic" w:cs="Calibri"/>
          <w:b/>
          <w:bCs/>
          <w:color w:val="000000"/>
          <w:lang w:eastAsia="sk-SK"/>
        </w:rPr>
        <w:t>7</w:t>
      </w:r>
      <w:r>
        <w:rPr>
          <w:rFonts w:ascii="Century Gothic" w:eastAsia="Times New Roman" w:hAnsi="Century Gothic" w:cs="Calibri"/>
          <w:b/>
          <w:bCs/>
          <w:color w:val="000000"/>
          <w:lang w:eastAsia="sk-SK"/>
        </w:rPr>
        <w:t xml:space="preserve"> v </w:t>
      </w:r>
      <w:r w:rsidRPr="0093190D">
        <w:rPr>
          <w:rFonts w:ascii="Century Gothic" w:eastAsia="Times New Roman" w:hAnsi="Century Gothic" w:cs="Calibri"/>
          <w:b/>
          <w:bCs/>
          <w:color w:val="000000"/>
          <w:lang w:eastAsia="sk-SK"/>
        </w:rPr>
        <w:t>študijn</w:t>
      </w:r>
      <w:r>
        <w:rPr>
          <w:rFonts w:ascii="Century Gothic" w:eastAsia="Times New Roman" w:hAnsi="Century Gothic" w:cs="Calibri"/>
          <w:b/>
          <w:bCs/>
          <w:color w:val="000000"/>
          <w:lang w:eastAsia="sk-SK"/>
        </w:rPr>
        <w:t>om</w:t>
      </w:r>
      <w:r w:rsidRPr="0093190D">
        <w:rPr>
          <w:rFonts w:ascii="Century Gothic" w:eastAsia="Times New Roman" w:hAnsi="Century Gothic" w:cs="Calibri"/>
          <w:b/>
          <w:bCs/>
          <w:color w:val="000000"/>
          <w:lang w:eastAsia="sk-SK"/>
        </w:rPr>
        <w:t xml:space="preserve"> program</w:t>
      </w:r>
      <w:r>
        <w:rPr>
          <w:rFonts w:ascii="Century Gothic" w:eastAsia="Times New Roman" w:hAnsi="Century Gothic" w:cs="Calibri"/>
          <w:b/>
          <w:bCs/>
          <w:color w:val="000000"/>
          <w:lang w:eastAsia="sk-SK"/>
        </w:rPr>
        <w:t>e</w:t>
      </w:r>
      <w:r w:rsidRPr="0093190D">
        <w:rPr>
          <w:rFonts w:ascii="Century Gothic" w:eastAsia="Times New Roman" w:hAnsi="Century Gothic" w:cs="Calibri"/>
          <w:b/>
          <w:bCs/>
          <w:color w:val="000000"/>
          <w:lang w:eastAsia="sk-SK"/>
        </w:rPr>
        <w:t xml:space="preserve"> financie </w:t>
      </w:r>
    </w:p>
    <w:p w14:paraId="6CECB398" w14:textId="5625A35D" w:rsidR="003D5D09" w:rsidRDefault="0093190D" w:rsidP="0046623B">
      <w:pPr>
        <w:spacing w:after="0" w:line="240" w:lineRule="auto"/>
        <w:ind w:left="-709" w:right="-1180"/>
        <w:jc w:val="both"/>
        <w:rPr>
          <w:rFonts w:ascii="Century Gothic" w:eastAsia="Times New Roman" w:hAnsi="Century Gothic" w:cs="Calibri"/>
          <w:b/>
          <w:bCs/>
          <w:color w:val="000000"/>
          <w:sz w:val="20"/>
          <w:szCs w:val="20"/>
          <w:lang w:eastAsia="sk-SK"/>
        </w:rPr>
      </w:pPr>
      <w:r w:rsidRPr="0046623B">
        <w:rPr>
          <w:rFonts w:ascii="Century Gothic" w:eastAsia="Times New Roman" w:hAnsi="Century Gothic" w:cs="Calibri"/>
          <w:b/>
          <w:bCs/>
          <w:color w:val="000000"/>
          <w:sz w:val="20"/>
          <w:szCs w:val="20"/>
          <w:lang w:eastAsia="sk-SK"/>
        </w:rPr>
        <w:t xml:space="preserve">  </w:t>
      </w:r>
      <w:r w:rsidR="0046623B" w:rsidRPr="0046623B">
        <w:rPr>
          <w:rFonts w:ascii="Century Gothic" w:eastAsia="Times New Roman" w:hAnsi="Century Gothic" w:cs="Calibri"/>
          <w:b/>
          <w:bCs/>
          <w:color w:val="000000"/>
          <w:sz w:val="20"/>
          <w:szCs w:val="20"/>
          <w:lang w:eastAsia="sk-SK"/>
        </w:rPr>
        <w:t xml:space="preserve">          </w:t>
      </w:r>
      <w:r w:rsidR="003D5D09">
        <w:rPr>
          <w:rFonts w:ascii="Century Gothic" w:eastAsia="Times New Roman" w:hAnsi="Century Gothic" w:cs="Calibri"/>
          <w:b/>
          <w:bCs/>
          <w:color w:val="000000"/>
          <w:sz w:val="20"/>
          <w:szCs w:val="20"/>
          <w:lang w:eastAsia="sk-SK"/>
        </w:rPr>
        <w:t>Kód:</w:t>
      </w:r>
      <w:r w:rsidRPr="0046623B">
        <w:rPr>
          <w:rFonts w:ascii="Century Gothic" w:eastAsia="Times New Roman" w:hAnsi="Century Gothic" w:cs="Calibri"/>
          <w:b/>
          <w:bCs/>
          <w:color w:val="000000"/>
          <w:sz w:val="20"/>
          <w:szCs w:val="20"/>
          <w:lang w:eastAsia="sk-SK"/>
        </w:rPr>
        <w:t xml:space="preserve"> </w:t>
      </w:r>
      <w:r w:rsidR="003D5D09">
        <w:rPr>
          <w:rFonts w:ascii="Century Gothic" w:eastAsia="Times New Roman" w:hAnsi="Century Gothic" w:cs="Calibri"/>
          <w:b/>
          <w:bCs/>
          <w:color w:val="000000"/>
          <w:sz w:val="20"/>
          <w:szCs w:val="20"/>
          <w:lang w:eastAsia="sk-SK"/>
        </w:rPr>
        <w:t xml:space="preserve"> </w:t>
      </w:r>
      <w:r w:rsidRPr="0046623B">
        <w:rPr>
          <w:rFonts w:ascii="Century Gothic" w:eastAsia="Times New Roman" w:hAnsi="Century Gothic" w:cs="Calibri"/>
          <w:b/>
          <w:bCs/>
          <w:color w:val="000000"/>
          <w:sz w:val="20"/>
          <w:szCs w:val="20"/>
          <w:lang w:eastAsia="sk-SK"/>
        </w:rPr>
        <w:t>dF_21</w:t>
      </w:r>
      <w:r w:rsidR="003D5D09">
        <w:rPr>
          <w:rFonts w:ascii="Century Gothic" w:eastAsia="Times New Roman" w:hAnsi="Century Gothic" w:cs="Calibri"/>
          <w:b/>
          <w:bCs/>
          <w:color w:val="000000"/>
          <w:sz w:val="20"/>
          <w:szCs w:val="20"/>
          <w:lang w:eastAsia="sk-SK"/>
        </w:rPr>
        <w:t xml:space="preserve">, </w:t>
      </w:r>
      <w:r w:rsidRPr="0046623B">
        <w:rPr>
          <w:rFonts w:ascii="Century Gothic" w:eastAsia="Times New Roman" w:hAnsi="Century Gothic" w:cs="Calibri"/>
          <w:b/>
          <w:bCs/>
          <w:color w:val="000000"/>
          <w:sz w:val="20"/>
          <w:szCs w:val="20"/>
          <w:lang w:eastAsia="sk-SK"/>
        </w:rPr>
        <w:t xml:space="preserve"> denná forma, </w:t>
      </w:r>
    </w:p>
    <w:p w14:paraId="29FCD54F" w14:textId="7CF9074A" w:rsidR="0093190D" w:rsidRPr="0046623B" w:rsidRDefault="003D5D09" w:rsidP="0046623B">
      <w:pPr>
        <w:spacing w:after="0" w:line="240" w:lineRule="auto"/>
        <w:ind w:left="-709" w:right="-1180"/>
        <w:jc w:val="both"/>
        <w:rPr>
          <w:rFonts w:ascii="Century Gothic" w:eastAsia="Times New Roman" w:hAnsi="Century Gothic" w:cs="Calibri"/>
          <w:b/>
          <w:bCs/>
          <w:color w:val="000000"/>
          <w:sz w:val="20"/>
          <w:szCs w:val="20"/>
          <w:lang w:eastAsia="sk-SK"/>
        </w:rPr>
      </w:pPr>
      <w:r>
        <w:rPr>
          <w:rFonts w:ascii="Century Gothic" w:eastAsia="Times New Roman" w:hAnsi="Century Gothic" w:cs="Calibri"/>
          <w:b/>
          <w:bCs/>
          <w:color w:val="000000"/>
          <w:sz w:val="20"/>
          <w:szCs w:val="20"/>
          <w:lang w:eastAsia="sk-SK"/>
        </w:rPr>
        <w:t xml:space="preserve">                      </w:t>
      </w:r>
      <w:r w:rsidR="0093190D" w:rsidRPr="0046623B">
        <w:rPr>
          <w:rFonts w:ascii="Century Gothic" w:eastAsia="Times New Roman" w:hAnsi="Century Gothic" w:cs="Calibri"/>
          <w:b/>
          <w:bCs/>
          <w:color w:val="000000"/>
          <w:sz w:val="20"/>
          <w:szCs w:val="20"/>
          <w:lang w:eastAsia="sk-SK"/>
        </w:rPr>
        <w:t>dFe_21</w:t>
      </w:r>
      <w:r>
        <w:rPr>
          <w:rFonts w:ascii="Century Gothic" w:eastAsia="Times New Roman" w:hAnsi="Century Gothic" w:cs="Calibri"/>
          <w:b/>
          <w:bCs/>
          <w:color w:val="000000"/>
          <w:sz w:val="20"/>
          <w:szCs w:val="20"/>
          <w:lang w:eastAsia="sk-SK"/>
        </w:rPr>
        <w:t xml:space="preserve">, </w:t>
      </w:r>
      <w:r w:rsidR="0093190D" w:rsidRPr="0046623B">
        <w:rPr>
          <w:rFonts w:ascii="Century Gothic" w:eastAsia="Times New Roman" w:hAnsi="Century Gothic" w:cs="Calibri"/>
          <w:b/>
          <w:bCs/>
          <w:color w:val="000000"/>
          <w:sz w:val="20"/>
          <w:szCs w:val="20"/>
          <w:lang w:eastAsia="sk-SK"/>
        </w:rPr>
        <w:t xml:space="preserve"> externá forma</w:t>
      </w:r>
    </w:p>
    <w:p w14:paraId="63900459" w14:textId="228C8DF3" w:rsidR="0093190D" w:rsidRDefault="00D56419" w:rsidP="0046623B">
      <w:pPr>
        <w:spacing w:before="240" w:after="0" w:line="240" w:lineRule="auto"/>
        <w:ind w:right="-1180"/>
        <w:rPr>
          <w:rFonts w:ascii="Century Gothic" w:eastAsia="Times New Roman" w:hAnsi="Century Gothic" w:cs="Calibri"/>
          <w:b/>
          <w:bCs/>
          <w:color w:val="000000"/>
          <w:sz w:val="20"/>
          <w:szCs w:val="20"/>
          <w:lang w:eastAsia="sk-SK"/>
        </w:rPr>
      </w:pPr>
      <w:r w:rsidRPr="00D56419">
        <w:rPr>
          <w:rFonts w:ascii="Century Gothic" w:eastAsia="Times New Roman" w:hAnsi="Century Gothic" w:cs="Calibri"/>
          <w:b/>
          <w:bCs/>
          <w:color w:val="000000"/>
          <w:sz w:val="20"/>
          <w:szCs w:val="20"/>
          <w:lang w:eastAsia="sk-SK"/>
        </w:rPr>
        <w:t>Témy sú zoradené podľa priezviska školiteľa</w:t>
      </w:r>
    </w:p>
    <w:p w14:paraId="08A05065" w14:textId="0938F35C" w:rsidR="00F04052" w:rsidRPr="003873EB" w:rsidRDefault="00F04052" w:rsidP="0093190D">
      <w:pPr>
        <w:spacing w:after="0" w:line="240" w:lineRule="auto"/>
        <w:ind w:right="-1180"/>
        <w:rPr>
          <w:rFonts w:ascii="Century Gothic" w:eastAsia="Times New Roman" w:hAnsi="Century Gothic" w:cs="Calibri"/>
          <w:b/>
          <w:bCs/>
          <w:color w:val="000000"/>
          <w:sz w:val="20"/>
          <w:szCs w:val="20"/>
          <w:lang w:eastAsia="sk-SK"/>
        </w:rPr>
      </w:pPr>
    </w:p>
    <w:p w14:paraId="68DCBA88" w14:textId="76ECD064" w:rsidR="00F04052" w:rsidRPr="003873EB" w:rsidRDefault="00F04052" w:rsidP="0093190D">
      <w:pPr>
        <w:spacing w:after="0" w:line="240" w:lineRule="auto"/>
        <w:ind w:right="-1180"/>
        <w:rPr>
          <w:rFonts w:ascii="Century Gothic" w:eastAsia="Times New Roman" w:hAnsi="Century Gothic" w:cs="Calibri"/>
          <w:b/>
          <w:bCs/>
          <w:color w:val="000000"/>
          <w:sz w:val="20"/>
          <w:szCs w:val="20"/>
          <w:lang w:eastAsia="sk-SK"/>
        </w:rPr>
      </w:pPr>
    </w:p>
    <w:p w14:paraId="2703C391" w14:textId="77777777" w:rsidR="0093190D" w:rsidRPr="003873EB" w:rsidRDefault="0093190D">
      <w:pPr>
        <w:rPr>
          <w:rFonts w:ascii="Century Gothic" w:hAnsi="Century Gothic"/>
          <w:sz w:val="20"/>
          <w:szCs w:val="20"/>
        </w:rPr>
      </w:pPr>
    </w:p>
    <w:tbl>
      <w:tblPr>
        <w:tblW w:w="22103" w:type="dxa"/>
        <w:tblInd w:w="5" w:type="dxa"/>
        <w:tblCellMar>
          <w:left w:w="70" w:type="dxa"/>
          <w:right w:w="70" w:type="dxa"/>
        </w:tblCellMar>
        <w:tblLook w:val="04A0" w:firstRow="1" w:lastRow="0" w:firstColumn="1" w:lastColumn="0" w:noHBand="0" w:noVBand="1"/>
      </w:tblPr>
      <w:tblGrid>
        <w:gridCol w:w="3400"/>
        <w:gridCol w:w="8320"/>
        <w:gridCol w:w="3012"/>
        <w:gridCol w:w="7371"/>
      </w:tblGrid>
      <w:tr w:rsidR="00307749" w:rsidRPr="003873EB" w14:paraId="6995A368" w14:textId="77777777" w:rsidTr="00F04052">
        <w:trPr>
          <w:trHeight w:val="360"/>
        </w:trPr>
        <w:tc>
          <w:tcPr>
            <w:tcW w:w="3400" w:type="dxa"/>
            <w:tcBorders>
              <w:top w:val="single" w:sz="4" w:space="0" w:color="auto"/>
              <w:left w:val="single" w:sz="4" w:space="0" w:color="auto"/>
              <w:bottom w:val="single" w:sz="4" w:space="0" w:color="auto"/>
              <w:right w:val="single" w:sz="4" w:space="0" w:color="auto"/>
            </w:tcBorders>
            <w:shd w:val="clear" w:color="auto" w:fill="EAEAEA"/>
            <w:noWrap/>
            <w:hideMark/>
          </w:tcPr>
          <w:p w14:paraId="7F84937B" w14:textId="25E0770F" w:rsidR="00616138" w:rsidRDefault="00616138" w:rsidP="0093190D">
            <w:pPr>
              <w:spacing w:after="0" w:line="240" w:lineRule="auto"/>
              <w:rPr>
                <w:rFonts w:ascii="Century Gothic" w:eastAsia="Times New Roman" w:hAnsi="Century Gothic" w:cs="Calibri"/>
                <w:b/>
                <w:sz w:val="20"/>
                <w:szCs w:val="20"/>
                <w:lang w:eastAsia="sk-SK"/>
              </w:rPr>
            </w:pPr>
            <w:r>
              <w:rPr>
                <w:rFonts w:ascii="Century Gothic" w:eastAsia="Times New Roman" w:hAnsi="Century Gothic" w:cs="Calibri"/>
                <w:b/>
                <w:sz w:val="20"/>
                <w:szCs w:val="20"/>
                <w:lang w:eastAsia="sk-SK"/>
              </w:rPr>
              <w:t>školiteľ:</w:t>
            </w:r>
          </w:p>
          <w:p w14:paraId="56726778" w14:textId="2F0575CA" w:rsidR="00307749" w:rsidRPr="003873EB" w:rsidRDefault="00307749" w:rsidP="0093190D">
            <w:pPr>
              <w:spacing w:after="0" w:line="240" w:lineRule="auto"/>
              <w:rPr>
                <w:rFonts w:ascii="Century Gothic" w:eastAsia="Times New Roman" w:hAnsi="Century Gothic" w:cs="Calibri"/>
                <w:b/>
                <w:sz w:val="20"/>
                <w:szCs w:val="20"/>
                <w:lang w:eastAsia="sk-SK"/>
              </w:rPr>
            </w:pPr>
            <w:r w:rsidRPr="003873EB">
              <w:rPr>
                <w:rFonts w:ascii="Century Gothic" w:eastAsia="Times New Roman" w:hAnsi="Century Gothic" w:cs="Calibri"/>
                <w:b/>
                <w:sz w:val="20"/>
                <w:szCs w:val="20"/>
                <w:lang w:eastAsia="sk-SK"/>
              </w:rPr>
              <w:t>doc. Ing. Peter Árendáš, PhD.</w:t>
            </w:r>
          </w:p>
        </w:tc>
        <w:tc>
          <w:tcPr>
            <w:tcW w:w="8320" w:type="dxa"/>
            <w:tcBorders>
              <w:top w:val="single" w:sz="4" w:space="0" w:color="auto"/>
              <w:left w:val="nil"/>
              <w:bottom w:val="single" w:sz="4" w:space="0" w:color="auto"/>
              <w:right w:val="single" w:sz="4" w:space="0" w:color="auto"/>
            </w:tcBorders>
            <w:shd w:val="clear" w:color="auto" w:fill="EAEAEA"/>
            <w:hideMark/>
          </w:tcPr>
          <w:p w14:paraId="0EA7E8B9" w14:textId="77777777" w:rsidR="00307749" w:rsidRDefault="00616138" w:rsidP="0093190D">
            <w:pPr>
              <w:spacing w:after="0" w:line="240" w:lineRule="auto"/>
              <w:rPr>
                <w:rFonts w:ascii="Century Gothic" w:eastAsia="Times New Roman" w:hAnsi="Century Gothic" w:cs="Calibri"/>
                <w:b/>
                <w:sz w:val="20"/>
                <w:szCs w:val="20"/>
                <w:lang w:eastAsia="sk-SK"/>
              </w:rPr>
            </w:pPr>
            <w:r>
              <w:rPr>
                <w:rFonts w:ascii="Century Gothic" w:eastAsia="Times New Roman" w:hAnsi="Century Gothic" w:cs="Calibri"/>
                <w:b/>
                <w:sz w:val="20"/>
                <w:szCs w:val="20"/>
                <w:lang w:eastAsia="sk-SK"/>
              </w:rPr>
              <w:t>Téma dizertačnej práce:</w:t>
            </w:r>
          </w:p>
          <w:p w14:paraId="0BE9AD7F" w14:textId="58A22EF2" w:rsidR="00616138" w:rsidRDefault="006F20B5" w:rsidP="0093190D">
            <w:pPr>
              <w:spacing w:after="0" w:line="240" w:lineRule="auto"/>
              <w:rPr>
                <w:rFonts w:ascii="Century Gothic" w:eastAsia="Times New Roman" w:hAnsi="Century Gothic" w:cs="Calibri"/>
                <w:b/>
                <w:sz w:val="20"/>
                <w:szCs w:val="20"/>
                <w:lang w:eastAsia="sk-SK"/>
              </w:rPr>
            </w:pPr>
            <w:r w:rsidRPr="006F20B5">
              <w:rPr>
                <w:rFonts w:ascii="Century Gothic" w:eastAsia="Times New Roman" w:hAnsi="Century Gothic" w:cs="Calibri"/>
                <w:b/>
                <w:sz w:val="20"/>
                <w:szCs w:val="20"/>
                <w:lang w:eastAsia="sk-SK"/>
              </w:rPr>
              <w:t>Dopad energetickej transformácie na finančné trhy</w:t>
            </w:r>
          </w:p>
          <w:p w14:paraId="7DF83F9B" w14:textId="5A97C83D" w:rsidR="00616138" w:rsidRPr="003873EB" w:rsidRDefault="00616138" w:rsidP="0093190D">
            <w:pPr>
              <w:spacing w:after="0" w:line="240" w:lineRule="auto"/>
              <w:rPr>
                <w:rFonts w:ascii="Century Gothic" w:eastAsia="Times New Roman" w:hAnsi="Century Gothic" w:cs="Calibri"/>
                <w:b/>
                <w:sz w:val="20"/>
                <w:szCs w:val="20"/>
                <w:lang w:eastAsia="sk-SK"/>
              </w:rPr>
            </w:pPr>
          </w:p>
        </w:tc>
        <w:tc>
          <w:tcPr>
            <w:tcW w:w="3012" w:type="dxa"/>
            <w:tcBorders>
              <w:top w:val="single" w:sz="4" w:space="0" w:color="auto"/>
              <w:left w:val="nil"/>
              <w:bottom w:val="single" w:sz="4" w:space="0" w:color="auto"/>
              <w:right w:val="single" w:sz="4" w:space="0" w:color="auto"/>
            </w:tcBorders>
            <w:shd w:val="clear" w:color="auto" w:fill="EAEAEA"/>
            <w:noWrap/>
            <w:hideMark/>
          </w:tcPr>
          <w:p w14:paraId="37AD156B" w14:textId="77777777" w:rsidR="00307749" w:rsidRPr="003873EB" w:rsidRDefault="00307749" w:rsidP="0093190D">
            <w:pPr>
              <w:spacing w:after="0" w:line="240" w:lineRule="auto"/>
              <w:rPr>
                <w:rFonts w:ascii="Century Gothic" w:eastAsia="Times New Roman" w:hAnsi="Century Gothic" w:cs="Calibri"/>
                <w:b/>
                <w:sz w:val="20"/>
                <w:szCs w:val="20"/>
                <w:lang w:eastAsia="sk-SK"/>
              </w:rPr>
            </w:pPr>
            <w:r w:rsidRPr="003873EB">
              <w:rPr>
                <w:rFonts w:ascii="Century Gothic" w:eastAsia="Times New Roman" w:hAnsi="Century Gothic" w:cs="Calibri"/>
                <w:b/>
                <w:sz w:val="20"/>
                <w:szCs w:val="20"/>
                <w:lang w:eastAsia="sk-SK"/>
              </w:rPr>
              <w:t>denná forma</w:t>
            </w:r>
          </w:p>
        </w:tc>
        <w:tc>
          <w:tcPr>
            <w:tcW w:w="7371" w:type="dxa"/>
            <w:tcBorders>
              <w:top w:val="single" w:sz="4" w:space="0" w:color="auto"/>
              <w:left w:val="nil"/>
              <w:bottom w:val="single" w:sz="4" w:space="0" w:color="auto"/>
              <w:right w:val="single" w:sz="4" w:space="0" w:color="auto"/>
            </w:tcBorders>
            <w:shd w:val="clear" w:color="auto" w:fill="EAEAEA"/>
            <w:noWrap/>
            <w:hideMark/>
          </w:tcPr>
          <w:p w14:paraId="061B8A4F" w14:textId="77777777" w:rsidR="00307749" w:rsidRPr="003873EB" w:rsidRDefault="00307749" w:rsidP="0093190D">
            <w:pPr>
              <w:spacing w:after="0" w:line="240" w:lineRule="auto"/>
              <w:rPr>
                <w:rFonts w:ascii="Century Gothic" w:eastAsia="Times New Roman" w:hAnsi="Century Gothic" w:cs="Calibri"/>
                <w:b/>
                <w:sz w:val="20"/>
                <w:szCs w:val="20"/>
                <w:lang w:eastAsia="sk-SK"/>
              </w:rPr>
            </w:pPr>
            <w:r w:rsidRPr="003873EB">
              <w:rPr>
                <w:rFonts w:ascii="Century Gothic" w:eastAsia="Times New Roman" w:hAnsi="Century Gothic" w:cs="Calibri"/>
                <w:b/>
                <w:sz w:val="20"/>
                <w:szCs w:val="20"/>
                <w:lang w:eastAsia="sk-SK"/>
              </w:rPr>
              <w:t>Katedra bankovníctva a medzinárodných financií</w:t>
            </w:r>
          </w:p>
        </w:tc>
      </w:tr>
      <w:tr w:rsidR="0093190D" w:rsidRPr="003873EB" w14:paraId="57D318C1" w14:textId="77777777" w:rsidTr="00737669">
        <w:trPr>
          <w:trHeight w:val="360"/>
        </w:trPr>
        <w:tc>
          <w:tcPr>
            <w:tcW w:w="3400" w:type="dxa"/>
            <w:tcBorders>
              <w:top w:val="single" w:sz="4" w:space="0" w:color="auto"/>
              <w:left w:val="single" w:sz="4" w:space="0" w:color="auto"/>
              <w:bottom w:val="single" w:sz="4" w:space="0" w:color="auto"/>
              <w:right w:val="single" w:sz="4" w:space="0" w:color="auto"/>
            </w:tcBorders>
            <w:noWrap/>
          </w:tcPr>
          <w:p w14:paraId="2CAABB27" w14:textId="77777777" w:rsidR="0093190D" w:rsidRPr="003873EB" w:rsidRDefault="0093190D" w:rsidP="0093190D">
            <w:pPr>
              <w:spacing w:after="0" w:line="240" w:lineRule="auto"/>
              <w:rPr>
                <w:rFonts w:ascii="Century Gothic" w:eastAsia="Times New Roman" w:hAnsi="Century Gothic" w:cs="Calibri"/>
                <w:sz w:val="20"/>
                <w:szCs w:val="20"/>
                <w:lang w:eastAsia="sk-SK"/>
              </w:rPr>
            </w:pPr>
            <w:r w:rsidRPr="003873EB">
              <w:rPr>
                <w:rFonts w:ascii="Century Gothic" w:eastAsia="Times New Roman" w:hAnsi="Century Gothic" w:cs="Calibri"/>
                <w:sz w:val="20"/>
                <w:szCs w:val="20"/>
                <w:lang w:eastAsia="sk-SK"/>
              </w:rPr>
              <w:t>anotácia</w:t>
            </w:r>
          </w:p>
        </w:tc>
        <w:tc>
          <w:tcPr>
            <w:tcW w:w="18703" w:type="dxa"/>
            <w:gridSpan w:val="3"/>
            <w:tcBorders>
              <w:top w:val="single" w:sz="4" w:space="0" w:color="auto"/>
              <w:left w:val="nil"/>
              <w:bottom w:val="single" w:sz="4" w:space="0" w:color="auto"/>
              <w:right w:val="single" w:sz="4" w:space="0" w:color="auto"/>
            </w:tcBorders>
          </w:tcPr>
          <w:p w14:paraId="2CDA9000" w14:textId="606D7433" w:rsidR="0093190D" w:rsidRPr="003873EB" w:rsidRDefault="006F20B5" w:rsidP="00307749">
            <w:pPr>
              <w:spacing w:after="0" w:line="240" w:lineRule="auto"/>
              <w:jc w:val="both"/>
              <w:rPr>
                <w:rFonts w:ascii="Century Gothic" w:eastAsia="Times New Roman" w:hAnsi="Century Gothic" w:cs="Calibri"/>
                <w:sz w:val="20"/>
                <w:szCs w:val="20"/>
                <w:lang w:eastAsia="sk-SK"/>
              </w:rPr>
            </w:pPr>
            <w:r w:rsidRPr="006F20B5">
              <w:rPr>
                <w:rFonts w:ascii="Century Gothic" w:eastAsia="Times New Roman" w:hAnsi="Century Gothic" w:cs="Calibri"/>
                <w:sz w:val="20"/>
                <w:szCs w:val="20"/>
                <w:lang w:eastAsia="sk-SK"/>
              </w:rPr>
              <w:t>Dizertačná práca sa zaoberá problematikou energetickej transformácie, teda prechodom z fosílnych zdrojov energie na nízkouhlíkové a obnoviteľné zdroje energie, a dopadom tohto procesu na finančné trhy. Na finančných trhoch sa energetická transformácia prejavuje nárastom popularity takzvaných zelených investícií, ako aj vznikom nových druhov investičných nástrojov, ako sú ESG fondy alebo zelené dlhopisy. Dizertačná práca sa venuje tiež tomu, ako energetická transformácia ovplyvňuje hodnotu a cenovú volatilitu finančných aktív, ako aj investičné stratégie investorov. Práca v neposlednom rade rieši tiež význam energetickej transformácie z pohľadu nedávnej energetickej krízy a identifikuje hrozby a príležitosti z nej vyplývajúce. Na záver prináša odporúčania pre investorov aj príslušné zákonodarné a regulačné orgány.</w:t>
            </w:r>
          </w:p>
        </w:tc>
      </w:tr>
    </w:tbl>
    <w:p w14:paraId="58698C43" w14:textId="77777777" w:rsidR="0093190D" w:rsidRPr="003873EB" w:rsidRDefault="0093190D">
      <w:pPr>
        <w:rPr>
          <w:rFonts w:ascii="Century Gothic" w:hAnsi="Century Gothic"/>
          <w:sz w:val="20"/>
          <w:szCs w:val="20"/>
        </w:rPr>
      </w:pPr>
    </w:p>
    <w:tbl>
      <w:tblPr>
        <w:tblW w:w="22103" w:type="dxa"/>
        <w:tblInd w:w="5" w:type="dxa"/>
        <w:tblCellMar>
          <w:left w:w="70" w:type="dxa"/>
          <w:right w:w="70" w:type="dxa"/>
        </w:tblCellMar>
        <w:tblLook w:val="04A0" w:firstRow="1" w:lastRow="0" w:firstColumn="1" w:lastColumn="0" w:noHBand="0" w:noVBand="1"/>
      </w:tblPr>
      <w:tblGrid>
        <w:gridCol w:w="3400"/>
        <w:gridCol w:w="8320"/>
        <w:gridCol w:w="3012"/>
        <w:gridCol w:w="7371"/>
      </w:tblGrid>
      <w:tr w:rsidR="00307749" w:rsidRPr="003873EB" w14:paraId="43A8AB07" w14:textId="77777777" w:rsidTr="00493A87">
        <w:trPr>
          <w:trHeight w:val="375"/>
        </w:trPr>
        <w:tc>
          <w:tcPr>
            <w:tcW w:w="3400" w:type="dxa"/>
            <w:tcBorders>
              <w:top w:val="single" w:sz="4" w:space="0" w:color="auto"/>
              <w:left w:val="single" w:sz="4" w:space="0" w:color="auto"/>
              <w:bottom w:val="single" w:sz="4" w:space="0" w:color="auto"/>
              <w:right w:val="single" w:sz="4" w:space="0" w:color="auto"/>
            </w:tcBorders>
            <w:shd w:val="clear" w:color="auto" w:fill="EAEAEA"/>
            <w:noWrap/>
            <w:hideMark/>
          </w:tcPr>
          <w:p w14:paraId="7E9F4DB0" w14:textId="1329BC90" w:rsidR="00616138" w:rsidRDefault="00616138" w:rsidP="00616138">
            <w:pPr>
              <w:spacing w:after="0" w:line="240" w:lineRule="auto"/>
              <w:rPr>
                <w:rFonts w:ascii="Century Gothic" w:eastAsia="Times New Roman" w:hAnsi="Century Gothic" w:cs="Calibri"/>
                <w:b/>
                <w:sz w:val="20"/>
                <w:szCs w:val="20"/>
                <w:lang w:eastAsia="sk-SK"/>
              </w:rPr>
            </w:pPr>
            <w:r>
              <w:rPr>
                <w:rFonts w:ascii="Century Gothic" w:eastAsia="Times New Roman" w:hAnsi="Century Gothic" w:cs="Calibri"/>
                <w:b/>
                <w:sz w:val="20"/>
                <w:szCs w:val="20"/>
                <w:lang w:eastAsia="sk-SK"/>
              </w:rPr>
              <w:t>školiteľ</w:t>
            </w:r>
            <w:r w:rsidR="00BD4955">
              <w:rPr>
                <w:rFonts w:ascii="Century Gothic" w:eastAsia="Times New Roman" w:hAnsi="Century Gothic" w:cs="Calibri"/>
                <w:b/>
                <w:sz w:val="20"/>
                <w:szCs w:val="20"/>
                <w:lang w:eastAsia="sk-SK"/>
              </w:rPr>
              <w:t>ka</w:t>
            </w:r>
            <w:r>
              <w:rPr>
                <w:rFonts w:ascii="Century Gothic" w:eastAsia="Times New Roman" w:hAnsi="Century Gothic" w:cs="Calibri"/>
                <w:b/>
                <w:sz w:val="20"/>
                <w:szCs w:val="20"/>
                <w:lang w:eastAsia="sk-SK"/>
              </w:rPr>
              <w:t>:</w:t>
            </w:r>
          </w:p>
          <w:p w14:paraId="6436D29C" w14:textId="4ADB1A61" w:rsidR="00307749" w:rsidRPr="003873EB" w:rsidRDefault="006F20B5" w:rsidP="0093190D">
            <w:pPr>
              <w:spacing w:after="0" w:line="240" w:lineRule="auto"/>
              <w:rPr>
                <w:rFonts w:ascii="Century Gothic" w:eastAsia="Times New Roman" w:hAnsi="Century Gothic" w:cs="Calibri"/>
                <w:b/>
                <w:sz w:val="20"/>
                <w:szCs w:val="20"/>
                <w:lang w:eastAsia="sk-SK"/>
              </w:rPr>
            </w:pPr>
            <w:r w:rsidRPr="003873EB">
              <w:rPr>
                <w:rFonts w:ascii="Century Gothic" w:eastAsia="Times New Roman" w:hAnsi="Century Gothic" w:cs="Calibri"/>
                <w:b/>
                <w:sz w:val="20"/>
                <w:szCs w:val="20"/>
                <w:lang w:eastAsia="sk-SK"/>
              </w:rPr>
              <w:t>doc. Ing. Katarína Belanová, PhD.</w:t>
            </w:r>
          </w:p>
        </w:tc>
        <w:tc>
          <w:tcPr>
            <w:tcW w:w="8320" w:type="dxa"/>
            <w:tcBorders>
              <w:top w:val="single" w:sz="4" w:space="0" w:color="auto"/>
              <w:left w:val="nil"/>
              <w:bottom w:val="single" w:sz="4" w:space="0" w:color="auto"/>
              <w:right w:val="single" w:sz="4" w:space="0" w:color="auto"/>
            </w:tcBorders>
            <w:shd w:val="clear" w:color="auto" w:fill="EAEAEA"/>
          </w:tcPr>
          <w:p w14:paraId="15EE9B4E" w14:textId="77777777" w:rsidR="00616138" w:rsidRDefault="00616138" w:rsidP="00616138">
            <w:pPr>
              <w:spacing w:after="0" w:line="240" w:lineRule="auto"/>
              <w:rPr>
                <w:rFonts w:ascii="Century Gothic" w:eastAsia="Times New Roman" w:hAnsi="Century Gothic" w:cs="Calibri"/>
                <w:b/>
                <w:sz w:val="20"/>
                <w:szCs w:val="20"/>
                <w:lang w:eastAsia="sk-SK"/>
              </w:rPr>
            </w:pPr>
            <w:r>
              <w:rPr>
                <w:rFonts w:ascii="Century Gothic" w:eastAsia="Times New Roman" w:hAnsi="Century Gothic" w:cs="Calibri"/>
                <w:b/>
                <w:sz w:val="20"/>
                <w:szCs w:val="20"/>
                <w:lang w:eastAsia="sk-SK"/>
              </w:rPr>
              <w:t>Téma dizertačnej práce:</w:t>
            </w:r>
          </w:p>
          <w:p w14:paraId="263A9692" w14:textId="320147A8" w:rsidR="00307749" w:rsidRPr="003873EB" w:rsidRDefault="006F20B5" w:rsidP="0093190D">
            <w:pPr>
              <w:spacing w:after="0" w:line="240" w:lineRule="auto"/>
              <w:rPr>
                <w:rFonts w:ascii="Century Gothic" w:eastAsia="Times New Roman" w:hAnsi="Century Gothic" w:cs="Calibri"/>
                <w:b/>
                <w:sz w:val="20"/>
                <w:szCs w:val="20"/>
                <w:lang w:eastAsia="sk-SK"/>
              </w:rPr>
            </w:pPr>
            <w:r w:rsidRPr="006F20B5">
              <w:rPr>
                <w:rFonts w:ascii="Century Gothic" w:eastAsia="Times New Roman" w:hAnsi="Century Gothic" w:cs="Calibri"/>
                <w:b/>
                <w:sz w:val="20"/>
                <w:szCs w:val="20"/>
                <w:lang w:eastAsia="sk-SK"/>
              </w:rPr>
              <w:t>Vplyv umelej inteligencie na finančné rozhodovanie podnikov v strednej Európe</w:t>
            </w:r>
          </w:p>
        </w:tc>
        <w:tc>
          <w:tcPr>
            <w:tcW w:w="3012" w:type="dxa"/>
            <w:tcBorders>
              <w:top w:val="single" w:sz="4" w:space="0" w:color="auto"/>
              <w:left w:val="nil"/>
              <w:bottom w:val="single" w:sz="4" w:space="0" w:color="auto"/>
              <w:right w:val="single" w:sz="4" w:space="0" w:color="auto"/>
            </w:tcBorders>
            <w:shd w:val="clear" w:color="auto" w:fill="EAEAEA"/>
            <w:noWrap/>
            <w:hideMark/>
          </w:tcPr>
          <w:p w14:paraId="30AF2818" w14:textId="1C734803" w:rsidR="00307749" w:rsidRPr="003873EB" w:rsidRDefault="00307749" w:rsidP="0093190D">
            <w:pPr>
              <w:spacing w:after="0" w:line="240" w:lineRule="auto"/>
              <w:rPr>
                <w:rFonts w:ascii="Century Gothic" w:eastAsia="Times New Roman" w:hAnsi="Century Gothic" w:cs="Calibri"/>
                <w:b/>
                <w:sz w:val="20"/>
                <w:szCs w:val="20"/>
                <w:lang w:eastAsia="sk-SK"/>
              </w:rPr>
            </w:pPr>
            <w:r w:rsidRPr="003873EB">
              <w:rPr>
                <w:rFonts w:ascii="Century Gothic" w:eastAsia="Times New Roman" w:hAnsi="Century Gothic" w:cs="Calibri"/>
                <w:b/>
                <w:sz w:val="20"/>
                <w:szCs w:val="20"/>
                <w:lang w:eastAsia="sk-SK"/>
              </w:rPr>
              <w:t>denná forma</w:t>
            </w:r>
            <w:r w:rsidR="009204A6">
              <w:rPr>
                <w:rFonts w:ascii="Century Gothic" w:eastAsia="Times New Roman" w:hAnsi="Century Gothic" w:cs="Calibri"/>
                <w:b/>
                <w:sz w:val="20"/>
                <w:szCs w:val="20"/>
                <w:lang w:eastAsia="sk-SK"/>
              </w:rPr>
              <w:t>, externá forma</w:t>
            </w:r>
          </w:p>
        </w:tc>
        <w:tc>
          <w:tcPr>
            <w:tcW w:w="7371" w:type="dxa"/>
            <w:tcBorders>
              <w:top w:val="single" w:sz="4" w:space="0" w:color="auto"/>
              <w:left w:val="nil"/>
              <w:bottom w:val="single" w:sz="4" w:space="0" w:color="auto"/>
              <w:right w:val="single" w:sz="4" w:space="0" w:color="auto"/>
            </w:tcBorders>
            <w:shd w:val="clear" w:color="auto" w:fill="EAEAEA"/>
            <w:noWrap/>
            <w:hideMark/>
          </w:tcPr>
          <w:p w14:paraId="4AA1FE61" w14:textId="667EADCF" w:rsidR="00307749" w:rsidRPr="003873EB" w:rsidRDefault="00307749" w:rsidP="0093190D">
            <w:pPr>
              <w:spacing w:after="0" w:line="240" w:lineRule="auto"/>
              <w:rPr>
                <w:rFonts w:ascii="Century Gothic" w:eastAsia="Times New Roman" w:hAnsi="Century Gothic" w:cs="Calibri"/>
                <w:b/>
                <w:sz w:val="20"/>
                <w:szCs w:val="20"/>
                <w:lang w:eastAsia="sk-SK"/>
              </w:rPr>
            </w:pPr>
            <w:r w:rsidRPr="003873EB">
              <w:rPr>
                <w:rFonts w:ascii="Century Gothic" w:eastAsia="Times New Roman" w:hAnsi="Century Gothic" w:cs="Calibri"/>
                <w:b/>
                <w:sz w:val="20"/>
                <w:szCs w:val="20"/>
                <w:lang w:eastAsia="sk-SK"/>
              </w:rPr>
              <w:t>Katedra financií</w:t>
            </w:r>
          </w:p>
        </w:tc>
      </w:tr>
      <w:tr w:rsidR="00307749" w:rsidRPr="003873EB" w14:paraId="0DCC4E44" w14:textId="77777777" w:rsidTr="00737669">
        <w:trPr>
          <w:trHeight w:val="375"/>
        </w:trPr>
        <w:tc>
          <w:tcPr>
            <w:tcW w:w="3400" w:type="dxa"/>
            <w:tcBorders>
              <w:top w:val="single" w:sz="4" w:space="0" w:color="auto"/>
              <w:left w:val="single" w:sz="4" w:space="0" w:color="auto"/>
              <w:bottom w:val="single" w:sz="4" w:space="0" w:color="auto"/>
              <w:right w:val="single" w:sz="4" w:space="0" w:color="auto"/>
            </w:tcBorders>
            <w:noWrap/>
          </w:tcPr>
          <w:p w14:paraId="38B5F293" w14:textId="77777777" w:rsidR="00307749" w:rsidRPr="003873EB" w:rsidRDefault="00307749" w:rsidP="0093190D">
            <w:pPr>
              <w:spacing w:after="0" w:line="240" w:lineRule="auto"/>
              <w:rPr>
                <w:rFonts w:ascii="Century Gothic" w:eastAsia="Times New Roman" w:hAnsi="Century Gothic" w:cs="Calibri"/>
                <w:sz w:val="20"/>
                <w:szCs w:val="20"/>
                <w:lang w:eastAsia="sk-SK"/>
              </w:rPr>
            </w:pPr>
            <w:r w:rsidRPr="003873EB">
              <w:rPr>
                <w:rFonts w:ascii="Century Gothic" w:eastAsia="Times New Roman" w:hAnsi="Century Gothic" w:cs="Calibri"/>
                <w:sz w:val="20"/>
                <w:szCs w:val="20"/>
                <w:lang w:eastAsia="sk-SK"/>
              </w:rPr>
              <w:t>anotácia</w:t>
            </w:r>
          </w:p>
        </w:tc>
        <w:tc>
          <w:tcPr>
            <w:tcW w:w="18703" w:type="dxa"/>
            <w:gridSpan w:val="3"/>
            <w:tcBorders>
              <w:top w:val="single" w:sz="4" w:space="0" w:color="auto"/>
              <w:left w:val="nil"/>
              <w:bottom w:val="single" w:sz="4" w:space="0" w:color="auto"/>
              <w:right w:val="single" w:sz="4" w:space="0" w:color="auto"/>
            </w:tcBorders>
          </w:tcPr>
          <w:p w14:paraId="3727D2BC" w14:textId="726C096C" w:rsidR="00307749" w:rsidRPr="003873EB" w:rsidRDefault="006F20B5" w:rsidP="00307749">
            <w:pPr>
              <w:spacing w:after="0" w:line="240" w:lineRule="auto"/>
              <w:jc w:val="both"/>
              <w:rPr>
                <w:rFonts w:ascii="Century Gothic" w:eastAsia="Times New Roman" w:hAnsi="Century Gothic" w:cs="Calibri"/>
                <w:sz w:val="20"/>
                <w:szCs w:val="20"/>
                <w:lang w:eastAsia="sk-SK"/>
              </w:rPr>
            </w:pPr>
            <w:r w:rsidRPr="006F20B5">
              <w:rPr>
                <w:rFonts w:ascii="Century Gothic" w:eastAsia="Times New Roman" w:hAnsi="Century Gothic" w:cs="Calibri"/>
                <w:sz w:val="20"/>
                <w:szCs w:val="20"/>
                <w:lang w:eastAsia="sk-SK"/>
              </w:rPr>
              <w:t>Práca sa zameriava na skúmanie toho, ako implementácia umelej inteligencie mení procesy finančného rozhodovania v podnikoch pôsobiacich v krajinách strednej Európy. Výskumná časť práce bude cielená na zistenie, do akej miery AI nástroje (prediktívne modely, automatizované systémy, algoritmické rozhodovanie) ovplyvňujú kvalitu, rýchlosť a presnosť finančných rozhodnutí, ako aj ich dopad na finančnú výkonnosť podnikov. Súčasťou práce bude identifikácia faktorov, ktoré podporujú alebo brzdia adopciu AI v oblasti financií, a porovnanie rozdielov medzi krajinami regiónu. Metodologicky sa predpokladá kombinácia kvantitatívnych dát (dotazníky, finančné ukazovatele, benchmarking) a kvalitatívnych rozhovorov s finančnými manažérmi. Výsledkom bude komplexný model ukazujúci, ako AI transformuje finančné riadenie a aké strategické výhody prináša podnikom v stredoeurópskom priestore.</w:t>
            </w:r>
          </w:p>
        </w:tc>
      </w:tr>
    </w:tbl>
    <w:p w14:paraId="71E3439E" w14:textId="77777777" w:rsidR="0093190D" w:rsidRPr="003873EB" w:rsidRDefault="0093190D">
      <w:pPr>
        <w:rPr>
          <w:rFonts w:ascii="Century Gothic" w:hAnsi="Century Gothic"/>
          <w:sz w:val="20"/>
          <w:szCs w:val="20"/>
        </w:rPr>
      </w:pPr>
    </w:p>
    <w:tbl>
      <w:tblPr>
        <w:tblW w:w="2209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0"/>
        <w:gridCol w:w="8320"/>
        <w:gridCol w:w="3007"/>
        <w:gridCol w:w="7366"/>
      </w:tblGrid>
      <w:tr w:rsidR="00F04052" w:rsidRPr="003873EB" w14:paraId="370EEADF" w14:textId="77777777" w:rsidTr="00493A87">
        <w:trPr>
          <w:trHeight w:val="300"/>
        </w:trPr>
        <w:tc>
          <w:tcPr>
            <w:tcW w:w="3400" w:type="dxa"/>
            <w:shd w:val="clear" w:color="auto" w:fill="EAEAEA"/>
            <w:noWrap/>
            <w:hideMark/>
          </w:tcPr>
          <w:p w14:paraId="1E1FEC41" w14:textId="77777777" w:rsidR="00616138" w:rsidRDefault="00616138" w:rsidP="00616138">
            <w:pPr>
              <w:spacing w:after="0" w:line="240" w:lineRule="auto"/>
              <w:rPr>
                <w:rFonts w:ascii="Century Gothic" w:eastAsia="Times New Roman" w:hAnsi="Century Gothic" w:cs="Calibri"/>
                <w:b/>
                <w:sz w:val="20"/>
                <w:szCs w:val="20"/>
                <w:lang w:eastAsia="sk-SK"/>
              </w:rPr>
            </w:pPr>
            <w:r>
              <w:rPr>
                <w:rFonts w:ascii="Century Gothic" w:eastAsia="Times New Roman" w:hAnsi="Century Gothic" w:cs="Calibri"/>
                <w:b/>
                <w:sz w:val="20"/>
                <w:szCs w:val="20"/>
                <w:lang w:eastAsia="sk-SK"/>
              </w:rPr>
              <w:t>školiteľka:</w:t>
            </w:r>
          </w:p>
          <w:p w14:paraId="387D6F5B" w14:textId="407457B7" w:rsidR="00F04052" w:rsidRPr="003873EB" w:rsidRDefault="00F04052" w:rsidP="00C01D2A">
            <w:pPr>
              <w:spacing w:after="0" w:line="240" w:lineRule="auto"/>
              <w:rPr>
                <w:rFonts w:ascii="Century Gothic" w:eastAsia="Times New Roman" w:hAnsi="Century Gothic" w:cs="Calibri"/>
                <w:b/>
                <w:sz w:val="20"/>
                <w:szCs w:val="20"/>
                <w:lang w:eastAsia="sk-SK"/>
              </w:rPr>
            </w:pPr>
            <w:r w:rsidRPr="003873EB">
              <w:rPr>
                <w:rFonts w:ascii="Century Gothic" w:eastAsia="Times New Roman" w:hAnsi="Century Gothic" w:cs="Calibri"/>
                <w:b/>
                <w:sz w:val="20"/>
                <w:szCs w:val="20"/>
                <w:lang w:eastAsia="sk-SK"/>
              </w:rPr>
              <w:t>doc. Ing. Katarína Belanová, PhD.</w:t>
            </w:r>
          </w:p>
        </w:tc>
        <w:tc>
          <w:tcPr>
            <w:tcW w:w="8320" w:type="dxa"/>
            <w:shd w:val="clear" w:color="auto" w:fill="EAEAEA"/>
          </w:tcPr>
          <w:p w14:paraId="7DC8B9DA" w14:textId="77777777" w:rsidR="00616138" w:rsidRDefault="00616138" w:rsidP="00616138">
            <w:pPr>
              <w:spacing w:after="0" w:line="240" w:lineRule="auto"/>
              <w:rPr>
                <w:rFonts w:ascii="Century Gothic" w:eastAsia="Times New Roman" w:hAnsi="Century Gothic" w:cs="Calibri"/>
                <w:b/>
                <w:sz w:val="20"/>
                <w:szCs w:val="20"/>
                <w:lang w:eastAsia="sk-SK"/>
              </w:rPr>
            </w:pPr>
            <w:r>
              <w:rPr>
                <w:rFonts w:ascii="Century Gothic" w:eastAsia="Times New Roman" w:hAnsi="Century Gothic" w:cs="Calibri"/>
                <w:b/>
                <w:sz w:val="20"/>
                <w:szCs w:val="20"/>
                <w:lang w:eastAsia="sk-SK"/>
              </w:rPr>
              <w:t>Téma dizertačnej práce:</w:t>
            </w:r>
          </w:p>
          <w:p w14:paraId="3F25C9E7" w14:textId="7AE481BD" w:rsidR="00F04052" w:rsidRPr="003873EB" w:rsidRDefault="006F20B5" w:rsidP="00C01D2A">
            <w:pPr>
              <w:spacing w:after="0" w:line="240" w:lineRule="auto"/>
              <w:rPr>
                <w:rFonts w:ascii="Century Gothic" w:eastAsia="Times New Roman" w:hAnsi="Century Gothic" w:cs="Calibri"/>
                <w:b/>
                <w:sz w:val="20"/>
                <w:szCs w:val="20"/>
                <w:lang w:eastAsia="sk-SK"/>
              </w:rPr>
            </w:pPr>
            <w:r w:rsidRPr="006F20B5">
              <w:rPr>
                <w:rFonts w:ascii="Century Gothic" w:eastAsia="Times New Roman" w:hAnsi="Century Gothic" w:cs="Calibri"/>
                <w:b/>
                <w:sz w:val="20"/>
                <w:szCs w:val="20"/>
                <w:lang w:eastAsia="sk-SK"/>
              </w:rPr>
              <w:t>AI</w:t>
            </w:r>
            <w:r w:rsidRPr="006F20B5">
              <w:rPr>
                <w:rFonts w:ascii="Cambria Math" w:eastAsia="Times New Roman" w:hAnsi="Cambria Math" w:cs="Cambria Math"/>
                <w:b/>
                <w:sz w:val="20"/>
                <w:szCs w:val="20"/>
                <w:lang w:eastAsia="sk-SK"/>
              </w:rPr>
              <w:t>‑</w:t>
            </w:r>
            <w:r w:rsidRPr="006F20B5">
              <w:rPr>
                <w:rFonts w:ascii="Century Gothic" w:eastAsia="Times New Roman" w:hAnsi="Century Gothic" w:cs="Calibri"/>
                <w:b/>
                <w:sz w:val="20"/>
                <w:szCs w:val="20"/>
                <w:lang w:eastAsia="sk-SK"/>
              </w:rPr>
              <w:t>podporovan</w:t>
            </w:r>
            <w:r w:rsidRPr="006F20B5">
              <w:rPr>
                <w:rFonts w:ascii="Century Gothic" w:eastAsia="Times New Roman" w:hAnsi="Century Gothic" w:cs="Century Gothic"/>
                <w:b/>
                <w:sz w:val="20"/>
                <w:szCs w:val="20"/>
                <w:lang w:eastAsia="sk-SK"/>
              </w:rPr>
              <w:t>é</w:t>
            </w:r>
            <w:r w:rsidRPr="006F20B5">
              <w:rPr>
                <w:rFonts w:ascii="Century Gothic" w:eastAsia="Times New Roman" w:hAnsi="Century Gothic" w:cs="Calibri"/>
                <w:b/>
                <w:sz w:val="20"/>
                <w:szCs w:val="20"/>
                <w:lang w:eastAsia="sk-SK"/>
              </w:rPr>
              <w:t xml:space="preserve"> modely hodnotenia investi</w:t>
            </w:r>
            <w:r w:rsidRPr="006F20B5">
              <w:rPr>
                <w:rFonts w:ascii="Century Gothic" w:eastAsia="Times New Roman" w:hAnsi="Century Gothic" w:cs="Century Gothic"/>
                <w:b/>
                <w:sz w:val="20"/>
                <w:szCs w:val="20"/>
                <w:lang w:eastAsia="sk-SK"/>
              </w:rPr>
              <w:t>č</w:t>
            </w:r>
            <w:r w:rsidRPr="006F20B5">
              <w:rPr>
                <w:rFonts w:ascii="Century Gothic" w:eastAsia="Times New Roman" w:hAnsi="Century Gothic" w:cs="Calibri"/>
                <w:b/>
                <w:sz w:val="20"/>
                <w:szCs w:val="20"/>
                <w:lang w:eastAsia="sk-SK"/>
              </w:rPr>
              <w:t>n</w:t>
            </w:r>
            <w:r w:rsidRPr="006F20B5">
              <w:rPr>
                <w:rFonts w:ascii="Century Gothic" w:eastAsia="Times New Roman" w:hAnsi="Century Gothic" w:cs="Century Gothic"/>
                <w:b/>
                <w:sz w:val="20"/>
                <w:szCs w:val="20"/>
                <w:lang w:eastAsia="sk-SK"/>
              </w:rPr>
              <w:t>ý</w:t>
            </w:r>
            <w:r w:rsidRPr="006F20B5">
              <w:rPr>
                <w:rFonts w:ascii="Century Gothic" w:eastAsia="Times New Roman" w:hAnsi="Century Gothic" w:cs="Calibri"/>
                <w:b/>
                <w:sz w:val="20"/>
                <w:szCs w:val="20"/>
                <w:lang w:eastAsia="sk-SK"/>
              </w:rPr>
              <w:t>ch projektov a</w:t>
            </w:r>
            <w:r w:rsidRPr="006F20B5">
              <w:rPr>
                <w:rFonts w:ascii="Century Gothic" w:eastAsia="Times New Roman" w:hAnsi="Century Gothic" w:cs="Century Gothic"/>
                <w:b/>
                <w:sz w:val="20"/>
                <w:szCs w:val="20"/>
                <w:lang w:eastAsia="sk-SK"/>
              </w:rPr>
              <w:t> </w:t>
            </w:r>
            <w:r w:rsidRPr="006F20B5">
              <w:rPr>
                <w:rFonts w:ascii="Century Gothic" w:eastAsia="Times New Roman" w:hAnsi="Century Gothic" w:cs="Calibri"/>
                <w:b/>
                <w:sz w:val="20"/>
                <w:szCs w:val="20"/>
                <w:lang w:eastAsia="sk-SK"/>
              </w:rPr>
              <w:t>ich presnos</w:t>
            </w:r>
            <w:r w:rsidRPr="006F20B5">
              <w:rPr>
                <w:rFonts w:ascii="Century Gothic" w:eastAsia="Times New Roman" w:hAnsi="Century Gothic" w:cs="Century Gothic"/>
                <w:b/>
                <w:sz w:val="20"/>
                <w:szCs w:val="20"/>
                <w:lang w:eastAsia="sk-SK"/>
              </w:rPr>
              <w:t>ť</w:t>
            </w:r>
            <w:r w:rsidRPr="006F20B5">
              <w:rPr>
                <w:rFonts w:ascii="Century Gothic" w:eastAsia="Times New Roman" w:hAnsi="Century Gothic" w:cs="Calibri"/>
                <w:b/>
                <w:sz w:val="20"/>
                <w:szCs w:val="20"/>
                <w:lang w:eastAsia="sk-SK"/>
              </w:rPr>
              <w:t xml:space="preserve"> v</w:t>
            </w:r>
            <w:r w:rsidRPr="006F20B5">
              <w:rPr>
                <w:rFonts w:ascii="Century Gothic" w:eastAsia="Times New Roman" w:hAnsi="Century Gothic" w:cs="Century Gothic"/>
                <w:b/>
                <w:sz w:val="20"/>
                <w:szCs w:val="20"/>
                <w:lang w:eastAsia="sk-SK"/>
              </w:rPr>
              <w:t> </w:t>
            </w:r>
            <w:r w:rsidRPr="006F20B5">
              <w:rPr>
                <w:rFonts w:ascii="Century Gothic" w:eastAsia="Times New Roman" w:hAnsi="Century Gothic" w:cs="Calibri"/>
                <w:b/>
                <w:sz w:val="20"/>
                <w:szCs w:val="20"/>
                <w:lang w:eastAsia="sk-SK"/>
              </w:rPr>
              <w:t>porovnan</w:t>
            </w:r>
            <w:r w:rsidRPr="006F20B5">
              <w:rPr>
                <w:rFonts w:ascii="Century Gothic" w:eastAsia="Times New Roman" w:hAnsi="Century Gothic" w:cs="Century Gothic"/>
                <w:b/>
                <w:sz w:val="20"/>
                <w:szCs w:val="20"/>
                <w:lang w:eastAsia="sk-SK"/>
              </w:rPr>
              <w:t>í</w:t>
            </w:r>
            <w:r w:rsidRPr="006F20B5">
              <w:rPr>
                <w:rFonts w:ascii="Century Gothic" w:eastAsia="Times New Roman" w:hAnsi="Century Gothic" w:cs="Calibri"/>
                <w:b/>
                <w:sz w:val="20"/>
                <w:szCs w:val="20"/>
                <w:lang w:eastAsia="sk-SK"/>
              </w:rPr>
              <w:t xml:space="preserve"> s</w:t>
            </w:r>
            <w:r w:rsidRPr="006F20B5">
              <w:rPr>
                <w:rFonts w:ascii="Century Gothic" w:eastAsia="Times New Roman" w:hAnsi="Century Gothic" w:cs="Century Gothic"/>
                <w:b/>
                <w:sz w:val="20"/>
                <w:szCs w:val="20"/>
                <w:lang w:eastAsia="sk-SK"/>
              </w:rPr>
              <w:t> </w:t>
            </w:r>
            <w:r w:rsidRPr="006F20B5">
              <w:rPr>
                <w:rFonts w:ascii="Century Gothic" w:eastAsia="Times New Roman" w:hAnsi="Century Gothic" w:cs="Calibri"/>
                <w:b/>
                <w:sz w:val="20"/>
                <w:szCs w:val="20"/>
                <w:lang w:eastAsia="sk-SK"/>
              </w:rPr>
              <w:t>tradi</w:t>
            </w:r>
            <w:r w:rsidRPr="006F20B5">
              <w:rPr>
                <w:rFonts w:ascii="Century Gothic" w:eastAsia="Times New Roman" w:hAnsi="Century Gothic" w:cs="Century Gothic"/>
                <w:b/>
                <w:sz w:val="20"/>
                <w:szCs w:val="20"/>
                <w:lang w:eastAsia="sk-SK"/>
              </w:rPr>
              <w:t>č</w:t>
            </w:r>
            <w:r w:rsidRPr="006F20B5">
              <w:rPr>
                <w:rFonts w:ascii="Century Gothic" w:eastAsia="Times New Roman" w:hAnsi="Century Gothic" w:cs="Calibri"/>
                <w:b/>
                <w:sz w:val="20"/>
                <w:szCs w:val="20"/>
                <w:lang w:eastAsia="sk-SK"/>
              </w:rPr>
              <w:t>n</w:t>
            </w:r>
            <w:r w:rsidRPr="006F20B5">
              <w:rPr>
                <w:rFonts w:ascii="Century Gothic" w:eastAsia="Times New Roman" w:hAnsi="Century Gothic" w:cs="Century Gothic"/>
                <w:b/>
                <w:sz w:val="20"/>
                <w:szCs w:val="20"/>
                <w:lang w:eastAsia="sk-SK"/>
              </w:rPr>
              <w:t>ý</w:t>
            </w:r>
            <w:r w:rsidRPr="006F20B5">
              <w:rPr>
                <w:rFonts w:ascii="Century Gothic" w:eastAsia="Times New Roman" w:hAnsi="Century Gothic" w:cs="Calibri"/>
                <w:b/>
                <w:sz w:val="20"/>
                <w:szCs w:val="20"/>
                <w:lang w:eastAsia="sk-SK"/>
              </w:rPr>
              <w:t>mi met</w:t>
            </w:r>
            <w:r w:rsidRPr="006F20B5">
              <w:rPr>
                <w:rFonts w:ascii="Century Gothic" w:eastAsia="Times New Roman" w:hAnsi="Century Gothic" w:cs="Century Gothic"/>
                <w:b/>
                <w:sz w:val="20"/>
                <w:szCs w:val="20"/>
                <w:lang w:eastAsia="sk-SK"/>
              </w:rPr>
              <w:t>ó</w:t>
            </w:r>
            <w:r w:rsidRPr="006F20B5">
              <w:rPr>
                <w:rFonts w:ascii="Century Gothic" w:eastAsia="Times New Roman" w:hAnsi="Century Gothic" w:cs="Calibri"/>
                <w:b/>
                <w:sz w:val="20"/>
                <w:szCs w:val="20"/>
                <w:lang w:eastAsia="sk-SK"/>
              </w:rPr>
              <w:t>dami</w:t>
            </w:r>
          </w:p>
        </w:tc>
        <w:tc>
          <w:tcPr>
            <w:tcW w:w="3007" w:type="dxa"/>
            <w:shd w:val="clear" w:color="auto" w:fill="EAEAEA"/>
            <w:noWrap/>
            <w:hideMark/>
          </w:tcPr>
          <w:p w14:paraId="27BF8693" w14:textId="77777777" w:rsidR="00F04052" w:rsidRPr="003873EB" w:rsidRDefault="00F04052" w:rsidP="00C01D2A">
            <w:pPr>
              <w:spacing w:after="0" w:line="240" w:lineRule="auto"/>
              <w:rPr>
                <w:rFonts w:ascii="Century Gothic" w:eastAsia="Times New Roman" w:hAnsi="Century Gothic" w:cs="Calibri"/>
                <w:b/>
                <w:sz w:val="20"/>
                <w:szCs w:val="20"/>
                <w:lang w:eastAsia="sk-SK"/>
              </w:rPr>
            </w:pPr>
            <w:r w:rsidRPr="003873EB">
              <w:rPr>
                <w:rFonts w:ascii="Century Gothic" w:eastAsia="Times New Roman" w:hAnsi="Century Gothic" w:cs="Calibri"/>
                <w:b/>
                <w:sz w:val="20"/>
                <w:szCs w:val="20"/>
                <w:lang w:eastAsia="sk-SK"/>
              </w:rPr>
              <w:t>denná forma, externá forma</w:t>
            </w:r>
          </w:p>
        </w:tc>
        <w:tc>
          <w:tcPr>
            <w:tcW w:w="7366" w:type="dxa"/>
            <w:shd w:val="clear" w:color="auto" w:fill="EAEAEA"/>
            <w:noWrap/>
            <w:hideMark/>
          </w:tcPr>
          <w:p w14:paraId="799A7F34" w14:textId="77777777" w:rsidR="00F04052" w:rsidRPr="003873EB" w:rsidRDefault="00F04052" w:rsidP="00C01D2A">
            <w:pPr>
              <w:spacing w:after="0" w:line="240" w:lineRule="auto"/>
              <w:rPr>
                <w:rFonts w:ascii="Century Gothic" w:eastAsia="Times New Roman" w:hAnsi="Century Gothic" w:cs="Calibri"/>
                <w:b/>
                <w:sz w:val="20"/>
                <w:szCs w:val="20"/>
                <w:lang w:eastAsia="sk-SK"/>
              </w:rPr>
            </w:pPr>
            <w:r w:rsidRPr="003873EB">
              <w:rPr>
                <w:rFonts w:ascii="Century Gothic" w:eastAsia="Times New Roman" w:hAnsi="Century Gothic" w:cs="Calibri"/>
                <w:b/>
                <w:sz w:val="20"/>
                <w:szCs w:val="20"/>
                <w:lang w:eastAsia="sk-SK"/>
              </w:rPr>
              <w:t>Katedra financií</w:t>
            </w:r>
          </w:p>
        </w:tc>
      </w:tr>
      <w:tr w:rsidR="00F04052" w:rsidRPr="003873EB" w14:paraId="074C2B6E" w14:textId="77777777" w:rsidTr="00C01D2A">
        <w:trPr>
          <w:trHeight w:val="300"/>
        </w:trPr>
        <w:tc>
          <w:tcPr>
            <w:tcW w:w="3400" w:type="dxa"/>
            <w:noWrap/>
          </w:tcPr>
          <w:p w14:paraId="525545F3" w14:textId="77777777" w:rsidR="00F04052" w:rsidRPr="003873EB" w:rsidRDefault="00F04052" w:rsidP="00C01D2A">
            <w:pPr>
              <w:spacing w:after="0" w:line="240" w:lineRule="auto"/>
              <w:jc w:val="both"/>
              <w:rPr>
                <w:rFonts w:ascii="Century Gothic" w:eastAsia="Times New Roman" w:hAnsi="Century Gothic" w:cs="Calibri"/>
                <w:sz w:val="20"/>
                <w:szCs w:val="20"/>
                <w:lang w:eastAsia="sk-SK"/>
              </w:rPr>
            </w:pPr>
            <w:r w:rsidRPr="003873EB">
              <w:rPr>
                <w:rFonts w:ascii="Century Gothic" w:eastAsia="Times New Roman" w:hAnsi="Century Gothic" w:cs="Calibri"/>
                <w:sz w:val="20"/>
                <w:szCs w:val="20"/>
                <w:lang w:eastAsia="sk-SK"/>
              </w:rPr>
              <w:t>anotácia</w:t>
            </w:r>
          </w:p>
        </w:tc>
        <w:tc>
          <w:tcPr>
            <w:tcW w:w="18693" w:type="dxa"/>
            <w:gridSpan w:val="3"/>
          </w:tcPr>
          <w:p w14:paraId="63712959" w14:textId="42D48931" w:rsidR="00F04052" w:rsidRPr="003873EB" w:rsidRDefault="006F20B5" w:rsidP="00C01D2A">
            <w:pPr>
              <w:spacing w:after="0" w:line="240" w:lineRule="auto"/>
              <w:jc w:val="both"/>
              <w:rPr>
                <w:rFonts w:ascii="Century Gothic" w:eastAsia="Times New Roman" w:hAnsi="Century Gothic" w:cs="Calibri"/>
                <w:sz w:val="20"/>
                <w:szCs w:val="20"/>
                <w:lang w:eastAsia="sk-SK"/>
              </w:rPr>
            </w:pPr>
            <w:r w:rsidRPr="006F20B5">
              <w:rPr>
                <w:rFonts w:ascii="Century Gothic" w:eastAsia="Times New Roman" w:hAnsi="Century Gothic" w:cs="Calibri"/>
                <w:sz w:val="20"/>
                <w:szCs w:val="20"/>
                <w:lang w:eastAsia="sk-SK"/>
              </w:rPr>
              <w:t>Predmetom dizertačnej práce je vyvinúť a otestovať AI</w:t>
            </w:r>
            <w:r w:rsidRPr="006F20B5">
              <w:rPr>
                <w:rFonts w:ascii="Cambria Math" w:eastAsia="Times New Roman" w:hAnsi="Cambria Math" w:cs="Cambria Math"/>
                <w:sz w:val="20"/>
                <w:szCs w:val="20"/>
                <w:lang w:eastAsia="sk-SK"/>
              </w:rPr>
              <w:t>‑</w:t>
            </w:r>
            <w:r w:rsidRPr="006F20B5">
              <w:rPr>
                <w:rFonts w:ascii="Century Gothic" w:eastAsia="Times New Roman" w:hAnsi="Century Gothic" w:cs="Calibri"/>
                <w:sz w:val="20"/>
                <w:szCs w:val="20"/>
                <w:lang w:eastAsia="sk-SK"/>
              </w:rPr>
              <w:t>podporovan</w:t>
            </w:r>
            <w:r w:rsidRPr="006F20B5">
              <w:rPr>
                <w:rFonts w:ascii="Century Gothic" w:eastAsia="Times New Roman" w:hAnsi="Century Gothic" w:cs="Century Gothic"/>
                <w:sz w:val="20"/>
                <w:szCs w:val="20"/>
                <w:lang w:eastAsia="sk-SK"/>
              </w:rPr>
              <w:t>é</w:t>
            </w:r>
            <w:r w:rsidRPr="006F20B5">
              <w:rPr>
                <w:rFonts w:ascii="Century Gothic" w:eastAsia="Times New Roman" w:hAnsi="Century Gothic" w:cs="Calibri"/>
                <w:sz w:val="20"/>
                <w:szCs w:val="20"/>
                <w:lang w:eastAsia="sk-SK"/>
              </w:rPr>
              <w:t xml:space="preserve"> modely hodnotenia investi</w:t>
            </w:r>
            <w:r w:rsidRPr="006F20B5">
              <w:rPr>
                <w:rFonts w:ascii="Century Gothic" w:eastAsia="Times New Roman" w:hAnsi="Century Gothic" w:cs="Century Gothic"/>
                <w:sz w:val="20"/>
                <w:szCs w:val="20"/>
                <w:lang w:eastAsia="sk-SK"/>
              </w:rPr>
              <w:t>č</w:t>
            </w:r>
            <w:r w:rsidRPr="006F20B5">
              <w:rPr>
                <w:rFonts w:ascii="Century Gothic" w:eastAsia="Times New Roman" w:hAnsi="Century Gothic" w:cs="Calibri"/>
                <w:sz w:val="20"/>
                <w:szCs w:val="20"/>
                <w:lang w:eastAsia="sk-SK"/>
              </w:rPr>
              <w:t>n</w:t>
            </w:r>
            <w:r w:rsidRPr="006F20B5">
              <w:rPr>
                <w:rFonts w:ascii="Century Gothic" w:eastAsia="Times New Roman" w:hAnsi="Century Gothic" w:cs="Century Gothic"/>
                <w:sz w:val="20"/>
                <w:szCs w:val="20"/>
                <w:lang w:eastAsia="sk-SK"/>
              </w:rPr>
              <w:t>ý</w:t>
            </w:r>
            <w:r w:rsidRPr="006F20B5">
              <w:rPr>
                <w:rFonts w:ascii="Century Gothic" w:eastAsia="Times New Roman" w:hAnsi="Century Gothic" w:cs="Calibri"/>
                <w:sz w:val="20"/>
                <w:szCs w:val="20"/>
                <w:lang w:eastAsia="sk-SK"/>
              </w:rPr>
              <w:t>ch projektov a</w:t>
            </w:r>
            <w:r w:rsidRPr="006F20B5">
              <w:rPr>
                <w:rFonts w:ascii="Century Gothic" w:eastAsia="Times New Roman" w:hAnsi="Century Gothic" w:cs="Century Gothic"/>
                <w:sz w:val="20"/>
                <w:szCs w:val="20"/>
                <w:lang w:eastAsia="sk-SK"/>
              </w:rPr>
              <w:t> </w:t>
            </w:r>
            <w:r w:rsidRPr="006F20B5">
              <w:rPr>
                <w:rFonts w:ascii="Century Gothic" w:eastAsia="Times New Roman" w:hAnsi="Century Gothic" w:cs="Calibri"/>
                <w:sz w:val="20"/>
                <w:szCs w:val="20"/>
                <w:lang w:eastAsia="sk-SK"/>
              </w:rPr>
              <w:t>porovna</w:t>
            </w:r>
            <w:r w:rsidRPr="006F20B5">
              <w:rPr>
                <w:rFonts w:ascii="Century Gothic" w:eastAsia="Times New Roman" w:hAnsi="Century Gothic" w:cs="Century Gothic"/>
                <w:sz w:val="20"/>
                <w:szCs w:val="20"/>
                <w:lang w:eastAsia="sk-SK"/>
              </w:rPr>
              <w:t>ť</w:t>
            </w:r>
            <w:r w:rsidRPr="006F20B5">
              <w:rPr>
                <w:rFonts w:ascii="Century Gothic" w:eastAsia="Times New Roman" w:hAnsi="Century Gothic" w:cs="Calibri"/>
                <w:sz w:val="20"/>
                <w:szCs w:val="20"/>
                <w:lang w:eastAsia="sk-SK"/>
              </w:rPr>
              <w:t xml:space="preserve"> ich predikt</w:t>
            </w:r>
            <w:r w:rsidRPr="006F20B5">
              <w:rPr>
                <w:rFonts w:ascii="Century Gothic" w:eastAsia="Times New Roman" w:hAnsi="Century Gothic" w:cs="Century Gothic"/>
                <w:sz w:val="20"/>
                <w:szCs w:val="20"/>
                <w:lang w:eastAsia="sk-SK"/>
              </w:rPr>
              <w:t>í</w:t>
            </w:r>
            <w:r w:rsidRPr="006F20B5">
              <w:rPr>
                <w:rFonts w:ascii="Century Gothic" w:eastAsia="Times New Roman" w:hAnsi="Century Gothic" w:cs="Calibri"/>
                <w:sz w:val="20"/>
                <w:szCs w:val="20"/>
                <w:lang w:eastAsia="sk-SK"/>
              </w:rPr>
              <w:t>vnu presnos</w:t>
            </w:r>
            <w:r w:rsidRPr="006F20B5">
              <w:rPr>
                <w:rFonts w:ascii="Century Gothic" w:eastAsia="Times New Roman" w:hAnsi="Century Gothic" w:cs="Century Gothic"/>
                <w:sz w:val="20"/>
                <w:szCs w:val="20"/>
                <w:lang w:eastAsia="sk-SK"/>
              </w:rPr>
              <w:t>ť</w:t>
            </w:r>
            <w:r w:rsidRPr="006F20B5">
              <w:rPr>
                <w:rFonts w:ascii="Century Gothic" w:eastAsia="Times New Roman" w:hAnsi="Century Gothic" w:cs="Calibri"/>
                <w:sz w:val="20"/>
                <w:szCs w:val="20"/>
                <w:lang w:eastAsia="sk-SK"/>
              </w:rPr>
              <w:t>, robustnos</w:t>
            </w:r>
            <w:r w:rsidRPr="006F20B5">
              <w:rPr>
                <w:rFonts w:ascii="Century Gothic" w:eastAsia="Times New Roman" w:hAnsi="Century Gothic" w:cs="Century Gothic"/>
                <w:sz w:val="20"/>
                <w:szCs w:val="20"/>
                <w:lang w:eastAsia="sk-SK"/>
              </w:rPr>
              <w:t>ť</w:t>
            </w:r>
            <w:r w:rsidRPr="006F20B5">
              <w:rPr>
                <w:rFonts w:ascii="Century Gothic" w:eastAsia="Times New Roman" w:hAnsi="Century Gothic" w:cs="Calibri"/>
                <w:sz w:val="20"/>
                <w:szCs w:val="20"/>
                <w:lang w:eastAsia="sk-SK"/>
              </w:rPr>
              <w:t xml:space="preserve"> a</w:t>
            </w:r>
            <w:r w:rsidRPr="006F20B5">
              <w:rPr>
                <w:rFonts w:ascii="Century Gothic" w:eastAsia="Times New Roman" w:hAnsi="Century Gothic" w:cs="Century Gothic"/>
                <w:sz w:val="20"/>
                <w:szCs w:val="20"/>
                <w:lang w:eastAsia="sk-SK"/>
              </w:rPr>
              <w:t> </w:t>
            </w:r>
            <w:r w:rsidRPr="006F20B5">
              <w:rPr>
                <w:rFonts w:ascii="Century Gothic" w:eastAsia="Times New Roman" w:hAnsi="Century Gothic" w:cs="Calibri"/>
                <w:sz w:val="20"/>
                <w:szCs w:val="20"/>
                <w:lang w:eastAsia="sk-SK"/>
              </w:rPr>
              <w:t>spo</w:t>
            </w:r>
            <w:r w:rsidRPr="006F20B5">
              <w:rPr>
                <w:rFonts w:ascii="Century Gothic" w:eastAsia="Times New Roman" w:hAnsi="Century Gothic" w:cs="Century Gothic"/>
                <w:sz w:val="20"/>
                <w:szCs w:val="20"/>
                <w:lang w:eastAsia="sk-SK"/>
              </w:rPr>
              <w:t>ľ</w:t>
            </w:r>
            <w:r w:rsidRPr="006F20B5">
              <w:rPr>
                <w:rFonts w:ascii="Century Gothic" w:eastAsia="Times New Roman" w:hAnsi="Century Gothic" w:cs="Calibri"/>
                <w:sz w:val="20"/>
                <w:szCs w:val="20"/>
                <w:lang w:eastAsia="sk-SK"/>
              </w:rPr>
              <w:t>ahlivos</w:t>
            </w:r>
            <w:r w:rsidRPr="006F20B5">
              <w:rPr>
                <w:rFonts w:ascii="Century Gothic" w:eastAsia="Times New Roman" w:hAnsi="Century Gothic" w:cs="Century Gothic"/>
                <w:sz w:val="20"/>
                <w:szCs w:val="20"/>
                <w:lang w:eastAsia="sk-SK"/>
              </w:rPr>
              <w:t>ť</w:t>
            </w:r>
            <w:r w:rsidRPr="006F20B5">
              <w:rPr>
                <w:rFonts w:ascii="Century Gothic" w:eastAsia="Times New Roman" w:hAnsi="Century Gothic" w:cs="Calibri"/>
                <w:sz w:val="20"/>
                <w:szCs w:val="20"/>
                <w:lang w:eastAsia="sk-SK"/>
              </w:rPr>
              <w:t xml:space="preserve"> s</w:t>
            </w:r>
            <w:r w:rsidRPr="006F20B5">
              <w:rPr>
                <w:rFonts w:ascii="Century Gothic" w:eastAsia="Times New Roman" w:hAnsi="Century Gothic" w:cs="Century Gothic"/>
                <w:sz w:val="20"/>
                <w:szCs w:val="20"/>
                <w:lang w:eastAsia="sk-SK"/>
              </w:rPr>
              <w:t> </w:t>
            </w:r>
            <w:r w:rsidRPr="006F20B5">
              <w:rPr>
                <w:rFonts w:ascii="Century Gothic" w:eastAsia="Times New Roman" w:hAnsi="Century Gothic" w:cs="Calibri"/>
                <w:sz w:val="20"/>
                <w:szCs w:val="20"/>
                <w:lang w:eastAsia="sk-SK"/>
              </w:rPr>
              <w:t>tradi</w:t>
            </w:r>
            <w:r w:rsidRPr="006F20B5">
              <w:rPr>
                <w:rFonts w:ascii="Century Gothic" w:eastAsia="Times New Roman" w:hAnsi="Century Gothic" w:cs="Century Gothic"/>
                <w:sz w:val="20"/>
                <w:szCs w:val="20"/>
                <w:lang w:eastAsia="sk-SK"/>
              </w:rPr>
              <w:t>č</w:t>
            </w:r>
            <w:r w:rsidRPr="006F20B5">
              <w:rPr>
                <w:rFonts w:ascii="Century Gothic" w:eastAsia="Times New Roman" w:hAnsi="Century Gothic" w:cs="Calibri"/>
                <w:sz w:val="20"/>
                <w:szCs w:val="20"/>
                <w:lang w:eastAsia="sk-SK"/>
              </w:rPr>
              <w:t>n</w:t>
            </w:r>
            <w:r w:rsidRPr="006F20B5">
              <w:rPr>
                <w:rFonts w:ascii="Century Gothic" w:eastAsia="Times New Roman" w:hAnsi="Century Gothic" w:cs="Century Gothic"/>
                <w:sz w:val="20"/>
                <w:szCs w:val="20"/>
                <w:lang w:eastAsia="sk-SK"/>
              </w:rPr>
              <w:t>ý</w:t>
            </w:r>
            <w:r w:rsidRPr="006F20B5">
              <w:rPr>
                <w:rFonts w:ascii="Century Gothic" w:eastAsia="Times New Roman" w:hAnsi="Century Gothic" w:cs="Calibri"/>
                <w:sz w:val="20"/>
                <w:szCs w:val="20"/>
                <w:lang w:eastAsia="sk-SK"/>
              </w:rPr>
              <w:t>mi finan</w:t>
            </w:r>
            <w:r w:rsidRPr="006F20B5">
              <w:rPr>
                <w:rFonts w:ascii="Century Gothic" w:eastAsia="Times New Roman" w:hAnsi="Century Gothic" w:cs="Century Gothic"/>
                <w:sz w:val="20"/>
                <w:szCs w:val="20"/>
                <w:lang w:eastAsia="sk-SK"/>
              </w:rPr>
              <w:t>č</w:t>
            </w:r>
            <w:r w:rsidRPr="006F20B5">
              <w:rPr>
                <w:rFonts w:ascii="Century Gothic" w:eastAsia="Times New Roman" w:hAnsi="Century Gothic" w:cs="Calibri"/>
                <w:sz w:val="20"/>
                <w:szCs w:val="20"/>
                <w:lang w:eastAsia="sk-SK"/>
              </w:rPr>
              <w:t>n</w:t>
            </w:r>
            <w:r w:rsidRPr="006F20B5">
              <w:rPr>
                <w:rFonts w:ascii="Century Gothic" w:eastAsia="Times New Roman" w:hAnsi="Century Gothic" w:cs="Century Gothic"/>
                <w:sz w:val="20"/>
                <w:szCs w:val="20"/>
                <w:lang w:eastAsia="sk-SK"/>
              </w:rPr>
              <w:t>ý</w:t>
            </w:r>
            <w:r w:rsidRPr="006F20B5">
              <w:rPr>
                <w:rFonts w:ascii="Century Gothic" w:eastAsia="Times New Roman" w:hAnsi="Century Gothic" w:cs="Calibri"/>
                <w:sz w:val="20"/>
                <w:szCs w:val="20"/>
                <w:lang w:eastAsia="sk-SK"/>
              </w:rPr>
              <w:t>mi met</w:t>
            </w:r>
            <w:r w:rsidRPr="006F20B5">
              <w:rPr>
                <w:rFonts w:ascii="Century Gothic" w:eastAsia="Times New Roman" w:hAnsi="Century Gothic" w:cs="Century Gothic"/>
                <w:sz w:val="20"/>
                <w:szCs w:val="20"/>
                <w:lang w:eastAsia="sk-SK"/>
              </w:rPr>
              <w:t>ó</w:t>
            </w:r>
            <w:r w:rsidRPr="006F20B5">
              <w:rPr>
                <w:rFonts w:ascii="Century Gothic" w:eastAsia="Times New Roman" w:hAnsi="Century Gothic" w:cs="Calibri"/>
                <w:sz w:val="20"/>
                <w:szCs w:val="20"/>
                <w:lang w:eastAsia="sk-SK"/>
              </w:rPr>
              <w:t>dami (NPV, IRR, DCF, scen</w:t>
            </w:r>
            <w:r w:rsidRPr="006F20B5">
              <w:rPr>
                <w:rFonts w:ascii="Century Gothic" w:eastAsia="Times New Roman" w:hAnsi="Century Gothic" w:cs="Century Gothic"/>
                <w:sz w:val="20"/>
                <w:szCs w:val="20"/>
                <w:lang w:eastAsia="sk-SK"/>
              </w:rPr>
              <w:t>á</w:t>
            </w:r>
            <w:r w:rsidRPr="006F20B5">
              <w:rPr>
                <w:rFonts w:ascii="Century Gothic" w:eastAsia="Times New Roman" w:hAnsi="Century Gothic" w:cs="Calibri"/>
                <w:sz w:val="20"/>
                <w:szCs w:val="20"/>
                <w:lang w:eastAsia="sk-SK"/>
              </w:rPr>
              <w:t>rov</w:t>
            </w:r>
            <w:r w:rsidRPr="006F20B5">
              <w:rPr>
                <w:rFonts w:ascii="Century Gothic" w:eastAsia="Times New Roman" w:hAnsi="Century Gothic" w:cs="Century Gothic"/>
                <w:sz w:val="20"/>
                <w:szCs w:val="20"/>
                <w:lang w:eastAsia="sk-SK"/>
              </w:rPr>
              <w:t>á</w:t>
            </w:r>
            <w:r w:rsidRPr="006F20B5">
              <w:rPr>
                <w:rFonts w:ascii="Century Gothic" w:eastAsia="Times New Roman" w:hAnsi="Century Gothic" w:cs="Calibri"/>
                <w:sz w:val="20"/>
                <w:szCs w:val="20"/>
                <w:lang w:eastAsia="sk-SK"/>
              </w:rPr>
              <w:t xml:space="preserve"> anal</w:t>
            </w:r>
            <w:r w:rsidRPr="006F20B5">
              <w:rPr>
                <w:rFonts w:ascii="Century Gothic" w:eastAsia="Times New Roman" w:hAnsi="Century Gothic" w:cs="Century Gothic"/>
                <w:sz w:val="20"/>
                <w:szCs w:val="20"/>
                <w:lang w:eastAsia="sk-SK"/>
              </w:rPr>
              <w:t>ý</w:t>
            </w:r>
            <w:r w:rsidRPr="006F20B5">
              <w:rPr>
                <w:rFonts w:ascii="Century Gothic" w:eastAsia="Times New Roman" w:hAnsi="Century Gothic" w:cs="Calibri"/>
                <w:sz w:val="20"/>
                <w:szCs w:val="20"/>
                <w:lang w:eastAsia="sk-SK"/>
              </w:rPr>
              <w:t>za). V</w:t>
            </w:r>
            <w:r w:rsidRPr="006F20B5">
              <w:rPr>
                <w:rFonts w:ascii="Century Gothic" w:eastAsia="Times New Roman" w:hAnsi="Century Gothic" w:cs="Century Gothic"/>
                <w:sz w:val="20"/>
                <w:szCs w:val="20"/>
                <w:lang w:eastAsia="sk-SK"/>
              </w:rPr>
              <w:t>ý</w:t>
            </w:r>
            <w:r w:rsidRPr="006F20B5">
              <w:rPr>
                <w:rFonts w:ascii="Century Gothic" w:eastAsia="Times New Roman" w:hAnsi="Century Gothic" w:cs="Calibri"/>
                <w:sz w:val="20"/>
                <w:szCs w:val="20"/>
                <w:lang w:eastAsia="sk-SK"/>
              </w:rPr>
              <w:t>skum sa zameria na</w:t>
            </w:r>
            <w:r w:rsidRPr="006F20B5">
              <w:rPr>
                <w:rFonts w:ascii="Century Gothic" w:eastAsia="Times New Roman" w:hAnsi="Century Gothic" w:cs="Century Gothic"/>
                <w:sz w:val="20"/>
                <w:szCs w:val="20"/>
                <w:lang w:eastAsia="sk-SK"/>
              </w:rPr>
              <w:t> </w:t>
            </w:r>
            <w:r w:rsidRPr="006F20B5">
              <w:rPr>
                <w:rFonts w:ascii="Century Gothic" w:eastAsia="Times New Roman" w:hAnsi="Century Gothic" w:cs="Calibri"/>
                <w:sz w:val="20"/>
                <w:szCs w:val="20"/>
                <w:lang w:eastAsia="sk-SK"/>
              </w:rPr>
              <w:t>to, ako algoritmy strojov</w:t>
            </w:r>
            <w:r w:rsidRPr="006F20B5">
              <w:rPr>
                <w:rFonts w:ascii="Century Gothic" w:eastAsia="Times New Roman" w:hAnsi="Century Gothic" w:cs="Century Gothic"/>
                <w:sz w:val="20"/>
                <w:szCs w:val="20"/>
                <w:lang w:eastAsia="sk-SK"/>
              </w:rPr>
              <w:t>é</w:t>
            </w:r>
            <w:r w:rsidRPr="006F20B5">
              <w:rPr>
                <w:rFonts w:ascii="Century Gothic" w:eastAsia="Times New Roman" w:hAnsi="Century Gothic" w:cs="Calibri"/>
                <w:sz w:val="20"/>
                <w:szCs w:val="20"/>
                <w:lang w:eastAsia="sk-SK"/>
              </w:rPr>
              <w:t>ho u</w:t>
            </w:r>
            <w:r w:rsidRPr="006F20B5">
              <w:rPr>
                <w:rFonts w:ascii="Century Gothic" w:eastAsia="Times New Roman" w:hAnsi="Century Gothic" w:cs="Century Gothic"/>
                <w:sz w:val="20"/>
                <w:szCs w:val="20"/>
                <w:lang w:eastAsia="sk-SK"/>
              </w:rPr>
              <w:t>č</w:t>
            </w:r>
            <w:r w:rsidRPr="006F20B5">
              <w:rPr>
                <w:rFonts w:ascii="Century Gothic" w:eastAsia="Times New Roman" w:hAnsi="Century Gothic" w:cs="Calibri"/>
                <w:sz w:val="20"/>
                <w:szCs w:val="20"/>
                <w:lang w:eastAsia="sk-SK"/>
              </w:rPr>
              <w:t>enia dok</w:t>
            </w:r>
            <w:r w:rsidRPr="006F20B5">
              <w:rPr>
                <w:rFonts w:ascii="Century Gothic" w:eastAsia="Times New Roman" w:hAnsi="Century Gothic" w:cs="Century Gothic"/>
                <w:sz w:val="20"/>
                <w:szCs w:val="20"/>
                <w:lang w:eastAsia="sk-SK"/>
              </w:rPr>
              <w:t>áž</w:t>
            </w:r>
            <w:r w:rsidRPr="006F20B5">
              <w:rPr>
                <w:rFonts w:ascii="Century Gothic" w:eastAsia="Times New Roman" w:hAnsi="Century Gothic" w:cs="Calibri"/>
                <w:sz w:val="20"/>
                <w:szCs w:val="20"/>
                <w:lang w:eastAsia="sk-SK"/>
              </w:rPr>
              <w:t>u pracova</w:t>
            </w:r>
            <w:r w:rsidRPr="006F20B5">
              <w:rPr>
                <w:rFonts w:ascii="Century Gothic" w:eastAsia="Times New Roman" w:hAnsi="Century Gothic" w:cs="Century Gothic"/>
                <w:sz w:val="20"/>
                <w:szCs w:val="20"/>
                <w:lang w:eastAsia="sk-SK"/>
              </w:rPr>
              <w:t>ť</w:t>
            </w:r>
            <w:r w:rsidRPr="006F20B5">
              <w:rPr>
                <w:rFonts w:ascii="Century Gothic" w:eastAsia="Times New Roman" w:hAnsi="Century Gothic" w:cs="Calibri"/>
                <w:sz w:val="20"/>
                <w:szCs w:val="20"/>
                <w:lang w:eastAsia="sk-SK"/>
              </w:rPr>
              <w:t xml:space="preserve"> s</w:t>
            </w:r>
            <w:r w:rsidRPr="006F20B5">
              <w:rPr>
                <w:rFonts w:ascii="Century Gothic" w:eastAsia="Times New Roman" w:hAnsi="Century Gothic" w:cs="Century Gothic"/>
                <w:sz w:val="20"/>
                <w:szCs w:val="20"/>
                <w:lang w:eastAsia="sk-SK"/>
              </w:rPr>
              <w:t> </w:t>
            </w:r>
            <w:r w:rsidRPr="006F20B5">
              <w:rPr>
                <w:rFonts w:ascii="Century Gothic" w:eastAsia="Times New Roman" w:hAnsi="Century Gothic" w:cs="Calibri"/>
                <w:sz w:val="20"/>
                <w:szCs w:val="20"/>
                <w:lang w:eastAsia="sk-SK"/>
              </w:rPr>
              <w:t>neistotou, ve</w:t>
            </w:r>
            <w:r w:rsidRPr="006F20B5">
              <w:rPr>
                <w:rFonts w:ascii="Century Gothic" w:eastAsia="Times New Roman" w:hAnsi="Century Gothic" w:cs="Century Gothic"/>
                <w:sz w:val="20"/>
                <w:szCs w:val="20"/>
                <w:lang w:eastAsia="sk-SK"/>
              </w:rPr>
              <w:t>ľ</w:t>
            </w:r>
            <w:r w:rsidRPr="006F20B5">
              <w:rPr>
                <w:rFonts w:ascii="Century Gothic" w:eastAsia="Times New Roman" w:hAnsi="Century Gothic" w:cs="Calibri"/>
                <w:sz w:val="20"/>
                <w:szCs w:val="20"/>
                <w:lang w:eastAsia="sk-SK"/>
              </w:rPr>
              <w:t>k</w:t>
            </w:r>
            <w:r w:rsidRPr="006F20B5">
              <w:rPr>
                <w:rFonts w:ascii="Century Gothic" w:eastAsia="Times New Roman" w:hAnsi="Century Gothic" w:cs="Century Gothic"/>
                <w:sz w:val="20"/>
                <w:szCs w:val="20"/>
                <w:lang w:eastAsia="sk-SK"/>
              </w:rPr>
              <w:t>ý</w:t>
            </w:r>
            <w:r w:rsidRPr="006F20B5">
              <w:rPr>
                <w:rFonts w:ascii="Century Gothic" w:eastAsia="Times New Roman" w:hAnsi="Century Gothic" w:cs="Calibri"/>
                <w:sz w:val="20"/>
                <w:szCs w:val="20"/>
                <w:lang w:eastAsia="sk-SK"/>
              </w:rPr>
              <w:t>mi datasetmi a</w:t>
            </w:r>
            <w:r w:rsidRPr="006F20B5">
              <w:rPr>
                <w:rFonts w:ascii="Century Gothic" w:eastAsia="Times New Roman" w:hAnsi="Century Gothic" w:cs="Century Gothic"/>
                <w:sz w:val="20"/>
                <w:szCs w:val="20"/>
                <w:lang w:eastAsia="sk-SK"/>
              </w:rPr>
              <w:t> </w:t>
            </w:r>
            <w:r w:rsidRPr="006F20B5">
              <w:rPr>
                <w:rFonts w:ascii="Century Gothic" w:eastAsia="Times New Roman" w:hAnsi="Century Gothic" w:cs="Calibri"/>
                <w:sz w:val="20"/>
                <w:szCs w:val="20"/>
                <w:lang w:eastAsia="sk-SK"/>
              </w:rPr>
              <w:t>dynamick</w:t>
            </w:r>
            <w:r w:rsidRPr="006F20B5">
              <w:rPr>
                <w:rFonts w:ascii="Century Gothic" w:eastAsia="Times New Roman" w:hAnsi="Century Gothic" w:cs="Century Gothic"/>
                <w:sz w:val="20"/>
                <w:szCs w:val="20"/>
                <w:lang w:eastAsia="sk-SK"/>
              </w:rPr>
              <w:t>ý</w:t>
            </w:r>
            <w:r w:rsidRPr="006F20B5">
              <w:rPr>
                <w:rFonts w:ascii="Century Gothic" w:eastAsia="Times New Roman" w:hAnsi="Century Gothic" w:cs="Calibri"/>
                <w:sz w:val="20"/>
                <w:szCs w:val="20"/>
                <w:lang w:eastAsia="sk-SK"/>
              </w:rPr>
              <w:t>mi trhov</w:t>
            </w:r>
            <w:r w:rsidRPr="006F20B5">
              <w:rPr>
                <w:rFonts w:ascii="Century Gothic" w:eastAsia="Times New Roman" w:hAnsi="Century Gothic" w:cs="Century Gothic"/>
                <w:sz w:val="20"/>
                <w:szCs w:val="20"/>
                <w:lang w:eastAsia="sk-SK"/>
              </w:rPr>
              <w:t>ý</w:t>
            </w:r>
            <w:r w:rsidRPr="006F20B5">
              <w:rPr>
                <w:rFonts w:ascii="Century Gothic" w:eastAsia="Times New Roman" w:hAnsi="Century Gothic" w:cs="Calibri"/>
                <w:sz w:val="20"/>
                <w:szCs w:val="20"/>
                <w:lang w:eastAsia="sk-SK"/>
              </w:rPr>
              <w:t>mi podmienkami, a</w:t>
            </w:r>
            <w:r w:rsidRPr="006F20B5">
              <w:rPr>
                <w:rFonts w:ascii="Century Gothic" w:eastAsia="Times New Roman" w:hAnsi="Century Gothic" w:cs="Century Gothic"/>
                <w:sz w:val="20"/>
                <w:szCs w:val="20"/>
                <w:lang w:eastAsia="sk-SK"/>
              </w:rPr>
              <w:t> č</w:t>
            </w:r>
            <w:r w:rsidRPr="006F20B5">
              <w:rPr>
                <w:rFonts w:ascii="Century Gothic" w:eastAsia="Times New Roman" w:hAnsi="Century Gothic" w:cs="Calibri"/>
                <w:sz w:val="20"/>
                <w:szCs w:val="20"/>
                <w:lang w:eastAsia="sk-SK"/>
              </w:rPr>
              <w:t>i poskytuj</w:t>
            </w:r>
            <w:r w:rsidRPr="006F20B5">
              <w:rPr>
                <w:rFonts w:ascii="Century Gothic" w:eastAsia="Times New Roman" w:hAnsi="Century Gothic" w:cs="Century Gothic"/>
                <w:sz w:val="20"/>
                <w:szCs w:val="20"/>
                <w:lang w:eastAsia="sk-SK"/>
              </w:rPr>
              <w:t>ú</w:t>
            </w:r>
            <w:r w:rsidRPr="006F20B5">
              <w:rPr>
                <w:rFonts w:ascii="Century Gothic" w:eastAsia="Times New Roman" w:hAnsi="Century Gothic" w:cs="Calibri"/>
                <w:sz w:val="20"/>
                <w:szCs w:val="20"/>
                <w:lang w:eastAsia="sk-SK"/>
              </w:rPr>
              <w:t xml:space="preserve"> robustnej</w:t>
            </w:r>
            <w:r w:rsidRPr="006F20B5">
              <w:rPr>
                <w:rFonts w:ascii="Century Gothic" w:eastAsia="Times New Roman" w:hAnsi="Century Gothic" w:cs="Century Gothic"/>
                <w:sz w:val="20"/>
                <w:szCs w:val="20"/>
                <w:lang w:eastAsia="sk-SK"/>
              </w:rPr>
              <w:t>š</w:t>
            </w:r>
            <w:r w:rsidRPr="006F20B5">
              <w:rPr>
                <w:rFonts w:ascii="Century Gothic" w:eastAsia="Times New Roman" w:hAnsi="Century Gothic" w:cs="Calibri"/>
                <w:sz w:val="20"/>
                <w:szCs w:val="20"/>
                <w:lang w:eastAsia="sk-SK"/>
              </w:rPr>
              <w:t>ie investi</w:t>
            </w:r>
            <w:r w:rsidRPr="006F20B5">
              <w:rPr>
                <w:rFonts w:ascii="Century Gothic" w:eastAsia="Times New Roman" w:hAnsi="Century Gothic" w:cs="Century Gothic"/>
                <w:sz w:val="20"/>
                <w:szCs w:val="20"/>
                <w:lang w:eastAsia="sk-SK"/>
              </w:rPr>
              <w:t>č</w:t>
            </w:r>
            <w:r w:rsidRPr="006F20B5">
              <w:rPr>
                <w:rFonts w:ascii="Century Gothic" w:eastAsia="Times New Roman" w:hAnsi="Century Gothic" w:cs="Calibri"/>
                <w:sz w:val="20"/>
                <w:szCs w:val="20"/>
                <w:lang w:eastAsia="sk-SK"/>
              </w:rPr>
              <w:t>n</w:t>
            </w:r>
            <w:r w:rsidRPr="006F20B5">
              <w:rPr>
                <w:rFonts w:ascii="Century Gothic" w:eastAsia="Times New Roman" w:hAnsi="Century Gothic" w:cs="Century Gothic"/>
                <w:sz w:val="20"/>
                <w:szCs w:val="20"/>
                <w:lang w:eastAsia="sk-SK"/>
              </w:rPr>
              <w:t>é</w:t>
            </w:r>
            <w:r w:rsidRPr="006F20B5">
              <w:rPr>
                <w:rFonts w:ascii="Century Gothic" w:eastAsia="Times New Roman" w:hAnsi="Century Gothic" w:cs="Calibri"/>
                <w:sz w:val="20"/>
                <w:szCs w:val="20"/>
                <w:lang w:eastAsia="sk-SK"/>
              </w:rPr>
              <w:t xml:space="preserve"> odpor</w:t>
            </w:r>
            <w:r w:rsidRPr="006F20B5">
              <w:rPr>
                <w:rFonts w:ascii="Century Gothic" w:eastAsia="Times New Roman" w:hAnsi="Century Gothic" w:cs="Century Gothic"/>
                <w:sz w:val="20"/>
                <w:szCs w:val="20"/>
                <w:lang w:eastAsia="sk-SK"/>
              </w:rPr>
              <w:t>úč</w:t>
            </w:r>
            <w:r w:rsidRPr="006F20B5">
              <w:rPr>
                <w:rFonts w:ascii="Century Gothic" w:eastAsia="Times New Roman" w:hAnsi="Century Gothic" w:cs="Calibri"/>
                <w:sz w:val="20"/>
                <w:szCs w:val="20"/>
                <w:lang w:eastAsia="sk-SK"/>
              </w:rPr>
              <w:t>ania. Empirick</w:t>
            </w:r>
            <w:r w:rsidRPr="006F20B5">
              <w:rPr>
                <w:rFonts w:ascii="Century Gothic" w:eastAsia="Times New Roman" w:hAnsi="Century Gothic" w:cs="Century Gothic"/>
                <w:sz w:val="20"/>
                <w:szCs w:val="20"/>
                <w:lang w:eastAsia="sk-SK"/>
              </w:rPr>
              <w:t>á</w:t>
            </w:r>
            <w:r w:rsidRPr="006F20B5">
              <w:rPr>
                <w:rFonts w:ascii="Century Gothic" w:eastAsia="Times New Roman" w:hAnsi="Century Gothic" w:cs="Calibri"/>
                <w:sz w:val="20"/>
                <w:szCs w:val="20"/>
                <w:lang w:eastAsia="sk-SK"/>
              </w:rPr>
              <w:t xml:space="preserve"> </w:t>
            </w:r>
            <w:r w:rsidRPr="006F20B5">
              <w:rPr>
                <w:rFonts w:ascii="Century Gothic" w:eastAsia="Times New Roman" w:hAnsi="Century Gothic" w:cs="Century Gothic"/>
                <w:sz w:val="20"/>
                <w:szCs w:val="20"/>
                <w:lang w:eastAsia="sk-SK"/>
              </w:rPr>
              <w:t>č</w:t>
            </w:r>
            <w:r w:rsidRPr="006F20B5">
              <w:rPr>
                <w:rFonts w:ascii="Century Gothic" w:eastAsia="Times New Roman" w:hAnsi="Century Gothic" w:cs="Calibri"/>
                <w:sz w:val="20"/>
                <w:szCs w:val="20"/>
                <w:lang w:eastAsia="sk-SK"/>
              </w:rPr>
              <w:t>as</w:t>
            </w:r>
            <w:r w:rsidRPr="006F20B5">
              <w:rPr>
                <w:rFonts w:ascii="Century Gothic" w:eastAsia="Times New Roman" w:hAnsi="Century Gothic" w:cs="Century Gothic"/>
                <w:sz w:val="20"/>
                <w:szCs w:val="20"/>
                <w:lang w:eastAsia="sk-SK"/>
              </w:rPr>
              <w:t>ť</w:t>
            </w:r>
            <w:r w:rsidRPr="006F20B5">
              <w:rPr>
                <w:rFonts w:ascii="Century Gothic" w:eastAsia="Times New Roman" w:hAnsi="Century Gothic" w:cs="Calibri"/>
                <w:sz w:val="20"/>
                <w:szCs w:val="20"/>
                <w:lang w:eastAsia="sk-SK"/>
              </w:rPr>
              <w:t xml:space="preserve"> bude zah</w:t>
            </w:r>
            <w:r w:rsidRPr="006F20B5">
              <w:rPr>
                <w:rFonts w:ascii="Century Gothic" w:eastAsia="Times New Roman" w:hAnsi="Century Gothic" w:cs="Century Gothic"/>
                <w:sz w:val="20"/>
                <w:szCs w:val="20"/>
                <w:lang w:eastAsia="sk-SK"/>
              </w:rPr>
              <w:t>ŕň</w:t>
            </w:r>
            <w:r w:rsidRPr="006F20B5">
              <w:rPr>
                <w:rFonts w:ascii="Century Gothic" w:eastAsia="Times New Roman" w:hAnsi="Century Gothic" w:cs="Calibri"/>
                <w:sz w:val="20"/>
                <w:szCs w:val="20"/>
                <w:lang w:eastAsia="sk-SK"/>
              </w:rPr>
              <w:t>a</w:t>
            </w:r>
            <w:r w:rsidRPr="006F20B5">
              <w:rPr>
                <w:rFonts w:ascii="Century Gothic" w:eastAsia="Times New Roman" w:hAnsi="Century Gothic" w:cs="Century Gothic"/>
                <w:sz w:val="20"/>
                <w:szCs w:val="20"/>
                <w:lang w:eastAsia="sk-SK"/>
              </w:rPr>
              <w:t>ť</w:t>
            </w:r>
            <w:r w:rsidRPr="006F20B5">
              <w:rPr>
                <w:rFonts w:ascii="Century Gothic" w:eastAsia="Times New Roman" w:hAnsi="Century Gothic" w:cs="Calibri"/>
                <w:sz w:val="20"/>
                <w:szCs w:val="20"/>
                <w:lang w:eastAsia="sk-SK"/>
              </w:rPr>
              <w:t xml:space="preserve"> tvorbu a</w:t>
            </w:r>
            <w:r w:rsidRPr="006F20B5">
              <w:rPr>
                <w:rFonts w:ascii="Century Gothic" w:eastAsia="Times New Roman" w:hAnsi="Century Gothic" w:cs="Century Gothic"/>
                <w:sz w:val="20"/>
                <w:szCs w:val="20"/>
                <w:lang w:eastAsia="sk-SK"/>
              </w:rPr>
              <w:t> </w:t>
            </w:r>
            <w:r w:rsidRPr="006F20B5">
              <w:rPr>
                <w:rFonts w:ascii="Century Gothic" w:eastAsia="Times New Roman" w:hAnsi="Century Gothic" w:cs="Calibri"/>
                <w:sz w:val="20"/>
                <w:szCs w:val="20"/>
                <w:lang w:eastAsia="sk-SK"/>
              </w:rPr>
              <w:t>testovanie AI modelov na</w:t>
            </w:r>
            <w:r w:rsidRPr="006F20B5">
              <w:rPr>
                <w:rFonts w:ascii="Century Gothic" w:eastAsia="Times New Roman" w:hAnsi="Century Gothic" w:cs="Century Gothic"/>
                <w:sz w:val="20"/>
                <w:szCs w:val="20"/>
                <w:lang w:eastAsia="sk-SK"/>
              </w:rPr>
              <w:t> </w:t>
            </w:r>
            <w:r w:rsidRPr="006F20B5">
              <w:rPr>
                <w:rFonts w:ascii="Century Gothic" w:eastAsia="Times New Roman" w:hAnsi="Century Gothic" w:cs="Calibri"/>
                <w:sz w:val="20"/>
                <w:szCs w:val="20"/>
                <w:lang w:eastAsia="sk-SK"/>
              </w:rPr>
              <w:t>re</w:t>
            </w:r>
            <w:r w:rsidRPr="006F20B5">
              <w:rPr>
                <w:rFonts w:ascii="Century Gothic" w:eastAsia="Times New Roman" w:hAnsi="Century Gothic" w:cs="Century Gothic"/>
                <w:sz w:val="20"/>
                <w:szCs w:val="20"/>
                <w:lang w:eastAsia="sk-SK"/>
              </w:rPr>
              <w:t>á</w:t>
            </w:r>
            <w:r w:rsidRPr="006F20B5">
              <w:rPr>
                <w:rFonts w:ascii="Century Gothic" w:eastAsia="Times New Roman" w:hAnsi="Century Gothic" w:cs="Calibri"/>
                <w:sz w:val="20"/>
                <w:szCs w:val="20"/>
                <w:lang w:eastAsia="sk-SK"/>
              </w:rPr>
              <w:t>lnych alebo simulovaných dátach, porovnanie ich predikčnej presnosti a analýzu prípadových štúdií z praxe. Práca prispeje k diskusii o tom, či môže AI nahradiť alebo doplniť tradičné finančné metódy a aké sú limity jej využitia v investičnom rozhodovaní.</w:t>
            </w:r>
          </w:p>
        </w:tc>
      </w:tr>
    </w:tbl>
    <w:p w14:paraId="102AC440" w14:textId="60640B1B" w:rsidR="00F04052" w:rsidRDefault="00F04052" w:rsidP="00F04052">
      <w:pPr>
        <w:rPr>
          <w:rFonts w:ascii="Century Gothic" w:hAnsi="Century Gothic"/>
          <w:sz w:val="20"/>
          <w:szCs w:val="20"/>
        </w:rPr>
      </w:pPr>
    </w:p>
    <w:tbl>
      <w:tblPr>
        <w:tblW w:w="2209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0"/>
        <w:gridCol w:w="8320"/>
        <w:gridCol w:w="3007"/>
        <w:gridCol w:w="7366"/>
      </w:tblGrid>
      <w:tr w:rsidR="00F04052" w:rsidRPr="003873EB" w14:paraId="0E63C76B" w14:textId="77777777" w:rsidTr="00493A87">
        <w:trPr>
          <w:trHeight w:val="300"/>
        </w:trPr>
        <w:tc>
          <w:tcPr>
            <w:tcW w:w="3400" w:type="dxa"/>
            <w:shd w:val="clear" w:color="auto" w:fill="EAEAEA"/>
            <w:noWrap/>
            <w:hideMark/>
          </w:tcPr>
          <w:p w14:paraId="49B74943" w14:textId="77777777" w:rsidR="00616138" w:rsidRDefault="00616138" w:rsidP="00616138">
            <w:pPr>
              <w:spacing w:after="0" w:line="240" w:lineRule="auto"/>
              <w:rPr>
                <w:rFonts w:ascii="Century Gothic" w:eastAsia="Times New Roman" w:hAnsi="Century Gothic" w:cs="Calibri"/>
                <w:b/>
                <w:sz w:val="20"/>
                <w:szCs w:val="20"/>
                <w:lang w:eastAsia="sk-SK"/>
              </w:rPr>
            </w:pPr>
            <w:r>
              <w:rPr>
                <w:rFonts w:ascii="Century Gothic" w:eastAsia="Times New Roman" w:hAnsi="Century Gothic" w:cs="Calibri"/>
                <w:b/>
                <w:sz w:val="20"/>
                <w:szCs w:val="20"/>
                <w:lang w:eastAsia="sk-SK"/>
              </w:rPr>
              <w:t>školiteľka:</w:t>
            </w:r>
          </w:p>
          <w:p w14:paraId="53B781F2" w14:textId="686F84D9" w:rsidR="00F04052" w:rsidRPr="003873EB" w:rsidRDefault="00F04052" w:rsidP="00C01D2A">
            <w:pPr>
              <w:spacing w:after="0" w:line="240" w:lineRule="auto"/>
              <w:rPr>
                <w:rFonts w:ascii="Century Gothic" w:eastAsia="Times New Roman" w:hAnsi="Century Gothic" w:cs="Calibri"/>
                <w:b/>
                <w:sz w:val="20"/>
                <w:szCs w:val="20"/>
                <w:lang w:eastAsia="sk-SK"/>
              </w:rPr>
            </w:pPr>
            <w:r w:rsidRPr="003873EB">
              <w:rPr>
                <w:rFonts w:ascii="Century Gothic" w:eastAsia="Times New Roman" w:hAnsi="Century Gothic" w:cs="Calibri"/>
                <w:b/>
                <w:sz w:val="20"/>
                <w:szCs w:val="20"/>
                <w:lang w:eastAsia="sk-SK"/>
              </w:rPr>
              <w:t>doc. Ing. K</w:t>
            </w:r>
            <w:r w:rsidR="00BF6D1B">
              <w:rPr>
                <w:rFonts w:ascii="Century Gothic" w:eastAsia="Times New Roman" w:hAnsi="Century Gothic" w:cs="Calibri"/>
                <w:b/>
                <w:sz w:val="20"/>
                <w:szCs w:val="20"/>
                <w:lang w:eastAsia="sk-SK"/>
              </w:rPr>
              <w:t>ornélia Beličková</w:t>
            </w:r>
            <w:r w:rsidRPr="003873EB">
              <w:rPr>
                <w:rFonts w:ascii="Century Gothic" w:eastAsia="Times New Roman" w:hAnsi="Century Gothic" w:cs="Calibri"/>
                <w:b/>
                <w:sz w:val="20"/>
                <w:szCs w:val="20"/>
                <w:lang w:eastAsia="sk-SK"/>
              </w:rPr>
              <w:t>, PhD.</w:t>
            </w:r>
          </w:p>
        </w:tc>
        <w:tc>
          <w:tcPr>
            <w:tcW w:w="8320" w:type="dxa"/>
            <w:shd w:val="clear" w:color="auto" w:fill="EAEAEA"/>
          </w:tcPr>
          <w:p w14:paraId="188EDB15" w14:textId="77777777" w:rsidR="00616138" w:rsidRDefault="00616138" w:rsidP="00616138">
            <w:pPr>
              <w:spacing w:after="0" w:line="240" w:lineRule="auto"/>
              <w:rPr>
                <w:rFonts w:ascii="Century Gothic" w:eastAsia="Times New Roman" w:hAnsi="Century Gothic" w:cs="Calibri"/>
                <w:b/>
                <w:sz w:val="20"/>
                <w:szCs w:val="20"/>
                <w:lang w:eastAsia="sk-SK"/>
              </w:rPr>
            </w:pPr>
            <w:r>
              <w:rPr>
                <w:rFonts w:ascii="Century Gothic" w:eastAsia="Times New Roman" w:hAnsi="Century Gothic" w:cs="Calibri"/>
                <w:b/>
                <w:sz w:val="20"/>
                <w:szCs w:val="20"/>
                <w:lang w:eastAsia="sk-SK"/>
              </w:rPr>
              <w:t>Téma dizertačnej práce:</w:t>
            </w:r>
          </w:p>
          <w:p w14:paraId="420111AE" w14:textId="08717C96" w:rsidR="00F04052" w:rsidRPr="003873EB" w:rsidRDefault="00BF6D1B" w:rsidP="00C01D2A">
            <w:pPr>
              <w:spacing w:after="0" w:line="240" w:lineRule="auto"/>
              <w:rPr>
                <w:rFonts w:ascii="Century Gothic" w:eastAsia="Times New Roman" w:hAnsi="Century Gothic" w:cs="Calibri"/>
                <w:b/>
                <w:sz w:val="20"/>
                <w:szCs w:val="20"/>
                <w:lang w:eastAsia="sk-SK"/>
              </w:rPr>
            </w:pPr>
            <w:r w:rsidRPr="00BF6D1B">
              <w:rPr>
                <w:rFonts w:ascii="Century Gothic" w:eastAsia="Times New Roman" w:hAnsi="Century Gothic" w:cs="Calibri"/>
                <w:b/>
                <w:sz w:val="20"/>
                <w:szCs w:val="20"/>
                <w:lang w:eastAsia="sk-SK"/>
              </w:rPr>
              <w:t>Optimalizácia sústavy verejných rozpočtov v podmienkach SR</w:t>
            </w:r>
          </w:p>
        </w:tc>
        <w:tc>
          <w:tcPr>
            <w:tcW w:w="3007" w:type="dxa"/>
            <w:shd w:val="clear" w:color="auto" w:fill="EAEAEA"/>
            <w:noWrap/>
            <w:hideMark/>
          </w:tcPr>
          <w:p w14:paraId="3E102836" w14:textId="77777777" w:rsidR="00F04052" w:rsidRPr="003873EB" w:rsidRDefault="00F04052" w:rsidP="00C01D2A">
            <w:pPr>
              <w:spacing w:after="0" w:line="240" w:lineRule="auto"/>
              <w:rPr>
                <w:rFonts w:ascii="Century Gothic" w:eastAsia="Times New Roman" w:hAnsi="Century Gothic" w:cs="Calibri"/>
                <w:b/>
                <w:sz w:val="20"/>
                <w:szCs w:val="20"/>
                <w:lang w:eastAsia="sk-SK"/>
              </w:rPr>
            </w:pPr>
            <w:r w:rsidRPr="003873EB">
              <w:rPr>
                <w:rFonts w:ascii="Century Gothic" w:eastAsia="Times New Roman" w:hAnsi="Century Gothic" w:cs="Calibri"/>
                <w:b/>
                <w:sz w:val="20"/>
                <w:szCs w:val="20"/>
                <w:lang w:eastAsia="sk-SK"/>
              </w:rPr>
              <w:t>denná forma, externá forma</w:t>
            </w:r>
          </w:p>
        </w:tc>
        <w:tc>
          <w:tcPr>
            <w:tcW w:w="7366" w:type="dxa"/>
            <w:shd w:val="clear" w:color="auto" w:fill="EAEAEA"/>
            <w:noWrap/>
            <w:hideMark/>
          </w:tcPr>
          <w:p w14:paraId="0CE37DF5" w14:textId="77777777" w:rsidR="00F04052" w:rsidRPr="003873EB" w:rsidRDefault="00F04052" w:rsidP="00C01D2A">
            <w:pPr>
              <w:spacing w:after="0" w:line="240" w:lineRule="auto"/>
              <w:rPr>
                <w:rFonts w:ascii="Century Gothic" w:eastAsia="Times New Roman" w:hAnsi="Century Gothic" w:cs="Calibri"/>
                <w:b/>
                <w:sz w:val="20"/>
                <w:szCs w:val="20"/>
                <w:lang w:eastAsia="sk-SK"/>
              </w:rPr>
            </w:pPr>
            <w:r w:rsidRPr="003873EB">
              <w:rPr>
                <w:rFonts w:ascii="Century Gothic" w:eastAsia="Times New Roman" w:hAnsi="Century Gothic" w:cs="Calibri"/>
                <w:b/>
                <w:sz w:val="20"/>
                <w:szCs w:val="20"/>
                <w:lang w:eastAsia="sk-SK"/>
              </w:rPr>
              <w:t>Katedra financií</w:t>
            </w:r>
          </w:p>
        </w:tc>
      </w:tr>
      <w:tr w:rsidR="00F04052" w:rsidRPr="003873EB" w14:paraId="1ABB045C" w14:textId="77777777" w:rsidTr="00C01D2A">
        <w:trPr>
          <w:trHeight w:val="300"/>
        </w:trPr>
        <w:tc>
          <w:tcPr>
            <w:tcW w:w="3400" w:type="dxa"/>
            <w:noWrap/>
          </w:tcPr>
          <w:p w14:paraId="24E61C2E" w14:textId="77777777" w:rsidR="00F04052" w:rsidRPr="003873EB" w:rsidRDefault="00F04052" w:rsidP="00C01D2A">
            <w:pPr>
              <w:spacing w:after="0" w:line="240" w:lineRule="auto"/>
              <w:rPr>
                <w:rFonts w:ascii="Century Gothic" w:eastAsia="Times New Roman" w:hAnsi="Century Gothic" w:cs="Calibri"/>
                <w:sz w:val="20"/>
                <w:szCs w:val="20"/>
                <w:lang w:eastAsia="sk-SK"/>
              </w:rPr>
            </w:pPr>
            <w:r w:rsidRPr="003873EB">
              <w:rPr>
                <w:rFonts w:ascii="Century Gothic" w:eastAsia="Times New Roman" w:hAnsi="Century Gothic" w:cs="Calibri"/>
                <w:sz w:val="20"/>
                <w:szCs w:val="20"/>
                <w:lang w:eastAsia="sk-SK"/>
              </w:rPr>
              <w:t>anotácia</w:t>
            </w:r>
          </w:p>
        </w:tc>
        <w:tc>
          <w:tcPr>
            <w:tcW w:w="18693" w:type="dxa"/>
            <w:gridSpan w:val="3"/>
          </w:tcPr>
          <w:p w14:paraId="2AD3CF0E" w14:textId="1F68DD98" w:rsidR="00F04052" w:rsidRPr="003873EB" w:rsidRDefault="00BF6D1B" w:rsidP="00C01D2A">
            <w:pPr>
              <w:spacing w:after="0" w:line="240" w:lineRule="auto"/>
              <w:jc w:val="both"/>
              <w:rPr>
                <w:rFonts w:ascii="Century Gothic" w:eastAsia="Times New Roman" w:hAnsi="Century Gothic" w:cs="Calibri"/>
                <w:sz w:val="20"/>
                <w:szCs w:val="20"/>
                <w:lang w:eastAsia="sk-SK"/>
              </w:rPr>
            </w:pPr>
            <w:r w:rsidRPr="00BF6D1B">
              <w:rPr>
                <w:rFonts w:ascii="Century Gothic" w:eastAsia="Times New Roman" w:hAnsi="Century Gothic" w:cs="Calibri"/>
                <w:sz w:val="20"/>
                <w:szCs w:val="20"/>
                <w:lang w:eastAsia="sk-SK"/>
              </w:rPr>
              <w:t>Výkonnosť a hospodárnosť celého okruhu verejných rozpočtov kopíruje rozhodnutia vlády tak, aby boli splnené vnútroštátne rozvojové potreby, realistické rozpočtové rozhodnutia v súlade so strategickými rozhodnutiami smerovania krajiny v európskom priestore a v globálnom finančnom svete. Toto všetko ovplyvňuje verejné rozpočtovanie ako celok, čo je zároveň aj doménou ústrednej vlády, verejnej správy, nadnárodnej, národnej a autonómnej úrovne verejnej vládnej autority. Verejné rozpočtovanie ako celok predstavuje účet verejných financií, je podporované rôznymi piliermi verejnej vlády, pretože ho možno vnímať ako základný pilier v architektúre dôvery medzi občanom a štátom (vládou). Preto je dôležité navrhnúť sústavu verejných rozpočtov tak, aby boli údaje jasné, dôveryhodné, predvídateľné a transparentné, čo môže zabezpečiť nákladovo efektívny a koherentný spôsob prístupu k jeho tvorbe a plneniu.</w:t>
            </w:r>
          </w:p>
        </w:tc>
      </w:tr>
    </w:tbl>
    <w:p w14:paraId="13A300B6" w14:textId="77777777" w:rsidR="00F04052" w:rsidRPr="003873EB" w:rsidRDefault="00F04052" w:rsidP="00F04052">
      <w:pPr>
        <w:rPr>
          <w:rFonts w:ascii="Century Gothic" w:hAnsi="Century Gothic"/>
          <w:sz w:val="20"/>
          <w:szCs w:val="20"/>
        </w:rPr>
      </w:pPr>
    </w:p>
    <w:tbl>
      <w:tblPr>
        <w:tblW w:w="2209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0"/>
        <w:gridCol w:w="8320"/>
        <w:gridCol w:w="3007"/>
        <w:gridCol w:w="7366"/>
      </w:tblGrid>
      <w:tr w:rsidR="00307749" w:rsidRPr="003873EB" w14:paraId="66756CBE" w14:textId="77777777" w:rsidTr="00493A87">
        <w:trPr>
          <w:trHeight w:val="450"/>
        </w:trPr>
        <w:tc>
          <w:tcPr>
            <w:tcW w:w="3400" w:type="dxa"/>
            <w:shd w:val="clear" w:color="auto" w:fill="EAEAEA"/>
            <w:noWrap/>
            <w:hideMark/>
          </w:tcPr>
          <w:p w14:paraId="17826C67" w14:textId="6CB20D02" w:rsidR="00616138" w:rsidRDefault="00616138" w:rsidP="00616138">
            <w:pPr>
              <w:spacing w:after="0" w:line="240" w:lineRule="auto"/>
              <w:rPr>
                <w:rFonts w:ascii="Century Gothic" w:eastAsia="Times New Roman" w:hAnsi="Century Gothic" w:cs="Calibri"/>
                <w:b/>
                <w:sz w:val="20"/>
                <w:szCs w:val="20"/>
                <w:lang w:eastAsia="sk-SK"/>
              </w:rPr>
            </w:pPr>
            <w:r>
              <w:rPr>
                <w:rFonts w:ascii="Century Gothic" w:eastAsia="Times New Roman" w:hAnsi="Century Gothic" w:cs="Calibri"/>
                <w:b/>
                <w:sz w:val="20"/>
                <w:szCs w:val="20"/>
                <w:lang w:eastAsia="sk-SK"/>
              </w:rPr>
              <w:t>školiteľ:</w:t>
            </w:r>
          </w:p>
          <w:p w14:paraId="7BA5A079" w14:textId="7682F07A" w:rsidR="00307749" w:rsidRPr="003873EB" w:rsidRDefault="00BF6D1B" w:rsidP="0093190D">
            <w:pPr>
              <w:spacing w:after="0" w:line="240" w:lineRule="auto"/>
              <w:rPr>
                <w:rFonts w:ascii="Century Gothic" w:eastAsia="Times New Roman" w:hAnsi="Century Gothic" w:cs="Calibri"/>
                <w:b/>
                <w:sz w:val="20"/>
                <w:szCs w:val="20"/>
                <w:lang w:eastAsia="sk-SK"/>
              </w:rPr>
            </w:pPr>
            <w:r w:rsidRPr="003873EB">
              <w:rPr>
                <w:rFonts w:ascii="Century Gothic" w:eastAsia="Times New Roman" w:hAnsi="Century Gothic" w:cs="Calibri"/>
                <w:b/>
                <w:sz w:val="20"/>
                <w:szCs w:val="20"/>
                <w:lang w:eastAsia="sk-SK"/>
              </w:rPr>
              <w:t xml:space="preserve">doc. </w:t>
            </w:r>
            <w:r>
              <w:rPr>
                <w:rFonts w:ascii="Century Gothic" w:eastAsia="Times New Roman" w:hAnsi="Century Gothic" w:cs="Calibri"/>
                <w:b/>
                <w:sz w:val="20"/>
                <w:szCs w:val="20"/>
                <w:lang w:eastAsia="sk-SK"/>
              </w:rPr>
              <w:t>Mgr</w:t>
            </w:r>
            <w:r w:rsidRPr="003873EB">
              <w:rPr>
                <w:rFonts w:ascii="Century Gothic" w:eastAsia="Times New Roman" w:hAnsi="Century Gothic" w:cs="Calibri"/>
                <w:b/>
                <w:sz w:val="20"/>
                <w:szCs w:val="20"/>
                <w:lang w:eastAsia="sk-SK"/>
              </w:rPr>
              <w:t xml:space="preserve">. </w:t>
            </w:r>
            <w:r>
              <w:rPr>
                <w:rFonts w:ascii="Century Gothic" w:eastAsia="Times New Roman" w:hAnsi="Century Gothic" w:cs="Calibri"/>
                <w:b/>
                <w:sz w:val="20"/>
                <w:szCs w:val="20"/>
                <w:lang w:eastAsia="sk-SK"/>
              </w:rPr>
              <w:t>Marek Káčer</w:t>
            </w:r>
            <w:r w:rsidRPr="003873EB">
              <w:rPr>
                <w:rFonts w:ascii="Century Gothic" w:eastAsia="Times New Roman" w:hAnsi="Century Gothic" w:cs="Calibri"/>
                <w:b/>
                <w:sz w:val="20"/>
                <w:szCs w:val="20"/>
                <w:lang w:eastAsia="sk-SK"/>
              </w:rPr>
              <w:t>, PhD</w:t>
            </w:r>
          </w:p>
        </w:tc>
        <w:tc>
          <w:tcPr>
            <w:tcW w:w="8320" w:type="dxa"/>
            <w:shd w:val="clear" w:color="auto" w:fill="EAEAEA"/>
          </w:tcPr>
          <w:p w14:paraId="3B7763E9" w14:textId="77777777" w:rsidR="00616138" w:rsidRDefault="00616138" w:rsidP="00616138">
            <w:pPr>
              <w:spacing w:after="0" w:line="240" w:lineRule="auto"/>
              <w:rPr>
                <w:rFonts w:ascii="Century Gothic" w:eastAsia="Times New Roman" w:hAnsi="Century Gothic" w:cs="Calibri"/>
                <w:b/>
                <w:sz w:val="20"/>
                <w:szCs w:val="20"/>
                <w:lang w:eastAsia="sk-SK"/>
              </w:rPr>
            </w:pPr>
            <w:r>
              <w:rPr>
                <w:rFonts w:ascii="Century Gothic" w:eastAsia="Times New Roman" w:hAnsi="Century Gothic" w:cs="Calibri"/>
                <w:b/>
                <w:sz w:val="20"/>
                <w:szCs w:val="20"/>
                <w:lang w:eastAsia="sk-SK"/>
              </w:rPr>
              <w:t>Téma dizertačnej práce:</w:t>
            </w:r>
          </w:p>
          <w:p w14:paraId="20007DE4" w14:textId="3E98F9BB" w:rsidR="00307749" w:rsidRDefault="001F41E0" w:rsidP="0093190D">
            <w:pPr>
              <w:spacing w:after="0" w:line="240" w:lineRule="auto"/>
              <w:rPr>
                <w:rFonts w:ascii="Century Gothic" w:eastAsia="Times New Roman" w:hAnsi="Century Gothic" w:cs="Calibri"/>
                <w:b/>
                <w:sz w:val="20"/>
                <w:szCs w:val="20"/>
                <w:lang w:eastAsia="sk-SK"/>
              </w:rPr>
            </w:pPr>
            <w:r w:rsidRPr="001F41E0">
              <w:rPr>
                <w:rFonts w:ascii="Century Gothic" w:eastAsia="Times New Roman" w:hAnsi="Century Gothic" w:cs="Calibri"/>
                <w:b/>
                <w:sz w:val="20"/>
                <w:szCs w:val="20"/>
                <w:lang w:eastAsia="sk-SK"/>
              </w:rPr>
              <w:t>Typológia zlyhaných firiem</w:t>
            </w:r>
          </w:p>
          <w:p w14:paraId="1C0A4BFA" w14:textId="24104A56" w:rsidR="005B74A7" w:rsidRPr="003873EB" w:rsidRDefault="005B74A7" w:rsidP="0093190D">
            <w:pPr>
              <w:spacing w:after="0" w:line="240" w:lineRule="auto"/>
              <w:rPr>
                <w:rFonts w:ascii="Century Gothic" w:eastAsia="Times New Roman" w:hAnsi="Century Gothic" w:cs="Calibri"/>
                <w:b/>
                <w:sz w:val="20"/>
                <w:szCs w:val="20"/>
                <w:lang w:eastAsia="sk-SK"/>
              </w:rPr>
            </w:pPr>
          </w:p>
        </w:tc>
        <w:tc>
          <w:tcPr>
            <w:tcW w:w="3007" w:type="dxa"/>
            <w:shd w:val="clear" w:color="auto" w:fill="EAEAEA"/>
            <w:noWrap/>
            <w:hideMark/>
          </w:tcPr>
          <w:p w14:paraId="52117FC6" w14:textId="1EDC2476" w:rsidR="00307749" w:rsidRPr="003873EB" w:rsidRDefault="00307749" w:rsidP="0093190D">
            <w:pPr>
              <w:spacing w:after="0" w:line="240" w:lineRule="auto"/>
              <w:rPr>
                <w:rFonts w:ascii="Century Gothic" w:eastAsia="Times New Roman" w:hAnsi="Century Gothic" w:cs="Calibri"/>
                <w:b/>
                <w:sz w:val="20"/>
                <w:szCs w:val="20"/>
                <w:lang w:eastAsia="sk-SK"/>
              </w:rPr>
            </w:pPr>
            <w:r w:rsidRPr="003873EB">
              <w:rPr>
                <w:rFonts w:ascii="Century Gothic" w:eastAsia="Times New Roman" w:hAnsi="Century Gothic" w:cs="Calibri"/>
                <w:b/>
                <w:sz w:val="20"/>
                <w:szCs w:val="20"/>
                <w:lang w:eastAsia="sk-SK"/>
              </w:rPr>
              <w:t>denná forma</w:t>
            </w:r>
            <w:r w:rsidR="009204A6">
              <w:rPr>
                <w:rFonts w:ascii="Century Gothic" w:eastAsia="Times New Roman" w:hAnsi="Century Gothic" w:cs="Calibri"/>
                <w:b/>
                <w:sz w:val="20"/>
                <w:szCs w:val="20"/>
                <w:lang w:eastAsia="sk-SK"/>
              </w:rPr>
              <w:t>, externá forma</w:t>
            </w:r>
          </w:p>
        </w:tc>
        <w:tc>
          <w:tcPr>
            <w:tcW w:w="7366" w:type="dxa"/>
            <w:shd w:val="clear" w:color="auto" w:fill="EAEAEA"/>
            <w:noWrap/>
            <w:hideMark/>
          </w:tcPr>
          <w:p w14:paraId="045FB37D" w14:textId="53C2C1EA" w:rsidR="00307749" w:rsidRPr="003873EB" w:rsidRDefault="00BF6D1B" w:rsidP="0093190D">
            <w:pPr>
              <w:spacing w:after="0" w:line="240" w:lineRule="auto"/>
              <w:rPr>
                <w:rFonts w:ascii="Century Gothic" w:eastAsia="Times New Roman" w:hAnsi="Century Gothic" w:cs="Calibri"/>
                <w:b/>
                <w:sz w:val="20"/>
                <w:szCs w:val="20"/>
                <w:lang w:eastAsia="sk-SK"/>
              </w:rPr>
            </w:pPr>
            <w:r w:rsidRPr="003873EB">
              <w:rPr>
                <w:rFonts w:ascii="Century Gothic" w:eastAsia="Times New Roman" w:hAnsi="Century Gothic" w:cs="Calibri"/>
                <w:b/>
                <w:sz w:val="20"/>
                <w:szCs w:val="20"/>
                <w:lang w:eastAsia="sk-SK"/>
              </w:rPr>
              <w:t xml:space="preserve">Katedra </w:t>
            </w:r>
            <w:r>
              <w:rPr>
                <w:rFonts w:ascii="Century Gothic" w:eastAsia="Times New Roman" w:hAnsi="Century Gothic" w:cs="Calibri"/>
                <w:b/>
                <w:sz w:val="20"/>
                <w:szCs w:val="20"/>
                <w:lang w:eastAsia="sk-SK"/>
              </w:rPr>
              <w:t>financií</w:t>
            </w:r>
          </w:p>
        </w:tc>
      </w:tr>
      <w:tr w:rsidR="00D56419" w:rsidRPr="003873EB" w14:paraId="564CA84C" w14:textId="77777777" w:rsidTr="00737669">
        <w:trPr>
          <w:trHeight w:val="450"/>
        </w:trPr>
        <w:tc>
          <w:tcPr>
            <w:tcW w:w="3400" w:type="dxa"/>
            <w:noWrap/>
          </w:tcPr>
          <w:p w14:paraId="41D9A6EA" w14:textId="77777777" w:rsidR="00D56419" w:rsidRPr="003873EB" w:rsidRDefault="00D56419" w:rsidP="0093190D">
            <w:pPr>
              <w:spacing w:after="0" w:line="240" w:lineRule="auto"/>
              <w:rPr>
                <w:rFonts w:ascii="Century Gothic" w:eastAsia="Times New Roman" w:hAnsi="Century Gothic" w:cs="Calibri"/>
                <w:sz w:val="20"/>
                <w:szCs w:val="20"/>
                <w:lang w:eastAsia="sk-SK"/>
              </w:rPr>
            </w:pPr>
            <w:r w:rsidRPr="003873EB">
              <w:rPr>
                <w:rFonts w:ascii="Century Gothic" w:eastAsia="Times New Roman" w:hAnsi="Century Gothic" w:cs="Calibri"/>
                <w:sz w:val="20"/>
                <w:szCs w:val="20"/>
                <w:lang w:eastAsia="sk-SK"/>
              </w:rPr>
              <w:t>anotácia</w:t>
            </w:r>
          </w:p>
        </w:tc>
        <w:tc>
          <w:tcPr>
            <w:tcW w:w="18693" w:type="dxa"/>
            <w:gridSpan w:val="3"/>
          </w:tcPr>
          <w:p w14:paraId="02A5AA7E" w14:textId="77777777" w:rsidR="00BF6D1B" w:rsidRPr="00BF6D1B" w:rsidRDefault="00BF6D1B" w:rsidP="00BF6D1B">
            <w:pPr>
              <w:spacing w:after="0" w:line="240" w:lineRule="auto"/>
              <w:jc w:val="both"/>
              <w:rPr>
                <w:rFonts w:ascii="Century Gothic" w:eastAsia="Times New Roman" w:hAnsi="Century Gothic" w:cs="Calibri"/>
                <w:sz w:val="20"/>
                <w:szCs w:val="20"/>
                <w:lang w:eastAsia="sk-SK"/>
              </w:rPr>
            </w:pPr>
            <w:r w:rsidRPr="00BF6D1B">
              <w:rPr>
                <w:rFonts w:ascii="Century Gothic" w:eastAsia="Times New Roman" w:hAnsi="Century Gothic" w:cs="Calibri"/>
                <w:sz w:val="20"/>
                <w:szCs w:val="20"/>
                <w:lang w:eastAsia="sk-SK"/>
              </w:rPr>
              <w:t xml:space="preserve">Typické modely predikcie zlyhania firiem počínajúc od Altmanovho Z-skóre (Altman, 1968) poskytujú pravdepodobnosť zlyhania, nie však hlbší vhľad do procesov, akým dochádza k zlyhaniu. Okrem toho Shumway (2001) ukázal, že pri modelovaní zlyhania treba brať do úvahy nielen posledné dostupné údaje, ale aj predchádzajúce. Toto naznačuje, že zlyhaniu firmy predchádza špecifický dynamický proces. Argenti (1976) opísal tri špecifické trajektórie vedúce k zlyhaniu na základe svojich expertných skúseností, kým napríklad du Jardim (2015) ponúkol spôsob, ako odhaliť špecifické procesy zlyhania empiricky. Úlohou dizertačnej práce bude pomocou vhodnej metodológie nájsť a popísať hlavné profily zlyhaných firiem vo vybratej krajine alebo skupine krajín. </w:t>
            </w:r>
          </w:p>
          <w:p w14:paraId="55E53C71" w14:textId="288A68A2" w:rsidR="00D56419" w:rsidRPr="003873EB" w:rsidRDefault="00BF6D1B" w:rsidP="00BF6D1B">
            <w:pPr>
              <w:spacing w:after="0" w:line="240" w:lineRule="auto"/>
              <w:jc w:val="both"/>
              <w:rPr>
                <w:rFonts w:ascii="Century Gothic" w:eastAsia="Times New Roman" w:hAnsi="Century Gothic" w:cs="Calibri"/>
                <w:sz w:val="20"/>
                <w:szCs w:val="20"/>
                <w:lang w:eastAsia="sk-SK"/>
              </w:rPr>
            </w:pPr>
            <w:r w:rsidRPr="00BF6D1B">
              <w:rPr>
                <w:rFonts w:ascii="Century Gothic" w:eastAsia="Times New Roman" w:hAnsi="Century Gothic" w:cs="Calibri"/>
                <w:sz w:val="20"/>
                <w:szCs w:val="20"/>
                <w:lang w:eastAsia="sk-SK"/>
              </w:rPr>
              <w:t>Práca hľadá odpoveď na otázku: "Aké sú hlavné trajektórie zlyhaných firiem?" a takto rozširuje modely zlyhania firiem prognózujúce pravdepodobnosť zlyhania aj o typológiu zlyhaných firiem.</w:t>
            </w:r>
          </w:p>
        </w:tc>
      </w:tr>
    </w:tbl>
    <w:p w14:paraId="55E13F01" w14:textId="77777777" w:rsidR="00D56419" w:rsidRPr="003873EB" w:rsidRDefault="00D56419">
      <w:pPr>
        <w:rPr>
          <w:rFonts w:ascii="Century Gothic" w:hAnsi="Century Gothic"/>
          <w:sz w:val="20"/>
          <w:szCs w:val="20"/>
        </w:rPr>
      </w:pPr>
    </w:p>
    <w:tbl>
      <w:tblPr>
        <w:tblW w:w="2209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0"/>
        <w:gridCol w:w="8320"/>
        <w:gridCol w:w="3007"/>
        <w:gridCol w:w="7366"/>
      </w:tblGrid>
      <w:tr w:rsidR="0004155F" w:rsidRPr="003873EB" w14:paraId="62B93A84" w14:textId="77777777" w:rsidTr="00F04052">
        <w:trPr>
          <w:trHeight w:val="570"/>
        </w:trPr>
        <w:tc>
          <w:tcPr>
            <w:tcW w:w="3400" w:type="dxa"/>
            <w:shd w:val="clear" w:color="auto" w:fill="EAEAEA"/>
            <w:noWrap/>
            <w:hideMark/>
          </w:tcPr>
          <w:p w14:paraId="4C2563B6" w14:textId="77777777" w:rsidR="0004155F" w:rsidRDefault="0004155F" w:rsidP="0004155F">
            <w:pPr>
              <w:spacing w:after="0" w:line="240" w:lineRule="auto"/>
              <w:rPr>
                <w:rFonts w:ascii="Century Gothic" w:eastAsia="Times New Roman" w:hAnsi="Century Gothic" w:cs="Calibri"/>
                <w:b/>
                <w:sz w:val="20"/>
                <w:szCs w:val="20"/>
                <w:lang w:eastAsia="sk-SK"/>
              </w:rPr>
            </w:pPr>
            <w:r>
              <w:rPr>
                <w:rFonts w:ascii="Century Gothic" w:eastAsia="Times New Roman" w:hAnsi="Century Gothic" w:cs="Calibri"/>
                <w:b/>
                <w:sz w:val="20"/>
                <w:szCs w:val="20"/>
                <w:lang w:eastAsia="sk-SK"/>
              </w:rPr>
              <w:lastRenderedPageBreak/>
              <w:t>školiteľka:</w:t>
            </w:r>
          </w:p>
          <w:p w14:paraId="3D3AE992" w14:textId="516F23D8" w:rsidR="0004155F" w:rsidRPr="003873EB" w:rsidRDefault="0004155F" w:rsidP="0004155F">
            <w:pPr>
              <w:spacing w:after="0" w:line="240" w:lineRule="auto"/>
              <w:rPr>
                <w:rFonts w:ascii="Century Gothic" w:eastAsia="Times New Roman" w:hAnsi="Century Gothic" w:cs="Calibri"/>
                <w:b/>
                <w:sz w:val="20"/>
                <w:szCs w:val="20"/>
                <w:lang w:eastAsia="sk-SK"/>
              </w:rPr>
            </w:pPr>
            <w:r w:rsidRPr="003873EB">
              <w:rPr>
                <w:rFonts w:ascii="Century Gothic" w:eastAsia="Times New Roman" w:hAnsi="Century Gothic" w:cs="Calibri"/>
                <w:b/>
                <w:sz w:val="20"/>
                <w:szCs w:val="20"/>
                <w:lang w:eastAsia="sk-SK"/>
              </w:rPr>
              <w:t>doc. Ing. Jana Kušnírová, PhD.</w:t>
            </w:r>
          </w:p>
        </w:tc>
        <w:tc>
          <w:tcPr>
            <w:tcW w:w="8320" w:type="dxa"/>
            <w:shd w:val="clear" w:color="auto" w:fill="EAEAEA"/>
            <w:hideMark/>
          </w:tcPr>
          <w:p w14:paraId="6E40ACB8" w14:textId="337A4A16" w:rsidR="0004155F" w:rsidRDefault="0004155F" w:rsidP="0004155F">
            <w:pPr>
              <w:spacing w:after="0" w:line="240" w:lineRule="auto"/>
              <w:rPr>
                <w:rFonts w:ascii="Century Gothic" w:eastAsia="Times New Roman" w:hAnsi="Century Gothic" w:cs="Calibri"/>
                <w:b/>
                <w:sz w:val="20"/>
                <w:szCs w:val="20"/>
                <w:lang w:eastAsia="sk-SK"/>
              </w:rPr>
            </w:pPr>
            <w:r>
              <w:rPr>
                <w:rFonts w:ascii="Century Gothic" w:eastAsia="Times New Roman" w:hAnsi="Century Gothic" w:cs="Calibri"/>
                <w:b/>
                <w:sz w:val="20"/>
                <w:szCs w:val="20"/>
                <w:lang w:eastAsia="sk-SK"/>
              </w:rPr>
              <w:t>Téma dizertačnej práce:</w:t>
            </w:r>
          </w:p>
          <w:p w14:paraId="7578F386" w14:textId="62A27612" w:rsidR="0004155F" w:rsidRDefault="0004155F" w:rsidP="0004155F">
            <w:pPr>
              <w:spacing w:after="0" w:line="240" w:lineRule="auto"/>
              <w:rPr>
                <w:rFonts w:ascii="Century Gothic" w:eastAsia="Times New Roman" w:hAnsi="Century Gothic" w:cs="Calibri"/>
                <w:b/>
                <w:sz w:val="20"/>
                <w:szCs w:val="20"/>
                <w:lang w:eastAsia="sk-SK"/>
              </w:rPr>
            </w:pPr>
            <w:r w:rsidRPr="0004155F">
              <w:rPr>
                <w:rFonts w:ascii="Century Gothic" w:eastAsia="Times New Roman" w:hAnsi="Century Gothic" w:cs="Calibri"/>
                <w:b/>
                <w:sz w:val="20"/>
                <w:szCs w:val="20"/>
                <w:lang w:eastAsia="sk-SK"/>
              </w:rPr>
              <w:t>Meranie a determinanty daňovej medzery vo výbere dane z príjmov právnických osôb na Slovensku a v krajinách EÚ</w:t>
            </w:r>
          </w:p>
          <w:p w14:paraId="181F6893" w14:textId="0D4358E4" w:rsidR="0004155F" w:rsidRPr="003873EB" w:rsidRDefault="0004155F" w:rsidP="0004155F">
            <w:pPr>
              <w:spacing w:after="0" w:line="240" w:lineRule="auto"/>
              <w:rPr>
                <w:rFonts w:ascii="Century Gothic" w:eastAsia="Times New Roman" w:hAnsi="Century Gothic" w:cs="Calibri"/>
                <w:b/>
                <w:sz w:val="20"/>
                <w:szCs w:val="20"/>
                <w:lang w:eastAsia="sk-SK"/>
              </w:rPr>
            </w:pPr>
          </w:p>
        </w:tc>
        <w:tc>
          <w:tcPr>
            <w:tcW w:w="3007" w:type="dxa"/>
            <w:shd w:val="clear" w:color="auto" w:fill="EAEAEA"/>
            <w:noWrap/>
            <w:hideMark/>
          </w:tcPr>
          <w:p w14:paraId="07FB7D69" w14:textId="0CBC6D89" w:rsidR="0004155F" w:rsidRPr="003873EB" w:rsidRDefault="0004155F" w:rsidP="0004155F">
            <w:pPr>
              <w:spacing w:after="0" w:line="240" w:lineRule="auto"/>
              <w:rPr>
                <w:rFonts w:ascii="Century Gothic" w:eastAsia="Times New Roman" w:hAnsi="Century Gothic" w:cs="Calibri"/>
                <w:b/>
                <w:sz w:val="20"/>
                <w:szCs w:val="20"/>
                <w:lang w:eastAsia="sk-SK"/>
              </w:rPr>
            </w:pPr>
            <w:r w:rsidRPr="003873EB">
              <w:rPr>
                <w:rFonts w:ascii="Century Gothic" w:eastAsia="Times New Roman" w:hAnsi="Century Gothic" w:cs="Calibri"/>
                <w:b/>
                <w:sz w:val="20"/>
                <w:szCs w:val="20"/>
                <w:lang w:eastAsia="sk-SK"/>
              </w:rPr>
              <w:t>denná forma</w:t>
            </w:r>
          </w:p>
        </w:tc>
        <w:tc>
          <w:tcPr>
            <w:tcW w:w="7366" w:type="dxa"/>
            <w:shd w:val="clear" w:color="auto" w:fill="EAEAEA"/>
            <w:noWrap/>
            <w:hideMark/>
          </w:tcPr>
          <w:p w14:paraId="5606ECDA" w14:textId="6F36E88A" w:rsidR="0004155F" w:rsidRPr="003873EB" w:rsidRDefault="0004155F" w:rsidP="0004155F">
            <w:pPr>
              <w:spacing w:after="0" w:line="240" w:lineRule="auto"/>
              <w:rPr>
                <w:rFonts w:ascii="Century Gothic" w:eastAsia="Times New Roman" w:hAnsi="Century Gothic" w:cs="Calibri"/>
                <w:b/>
                <w:sz w:val="20"/>
                <w:szCs w:val="20"/>
                <w:lang w:eastAsia="sk-SK"/>
              </w:rPr>
            </w:pPr>
            <w:r w:rsidRPr="003873EB">
              <w:rPr>
                <w:rFonts w:ascii="Century Gothic" w:eastAsia="Times New Roman" w:hAnsi="Century Gothic" w:cs="Calibri"/>
                <w:b/>
                <w:sz w:val="20"/>
                <w:szCs w:val="20"/>
                <w:lang w:eastAsia="sk-SK"/>
              </w:rPr>
              <w:t xml:space="preserve">Katedra </w:t>
            </w:r>
            <w:r>
              <w:rPr>
                <w:rFonts w:ascii="Century Gothic" w:eastAsia="Times New Roman" w:hAnsi="Century Gothic" w:cs="Calibri"/>
                <w:b/>
                <w:sz w:val="20"/>
                <w:szCs w:val="20"/>
                <w:lang w:eastAsia="sk-SK"/>
              </w:rPr>
              <w:t>financií</w:t>
            </w:r>
          </w:p>
        </w:tc>
      </w:tr>
      <w:tr w:rsidR="00D56419" w:rsidRPr="003873EB" w14:paraId="66164748" w14:textId="77777777" w:rsidTr="00737669">
        <w:trPr>
          <w:trHeight w:val="570"/>
        </w:trPr>
        <w:tc>
          <w:tcPr>
            <w:tcW w:w="3400" w:type="dxa"/>
            <w:noWrap/>
          </w:tcPr>
          <w:p w14:paraId="7706B331" w14:textId="77777777" w:rsidR="00D56419" w:rsidRPr="003873EB" w:rsidRDefault="00D56419" w:rsidP="0093190D">
            <w:pPr>
              <w:spacing w:after="0" w:line="240" w:lineRule="auto"/>
              <w:rPr>
                <w:rFonts w:ascii="Century Gothic" w:eastAsia="Times New Roman" w:hAnsi="Century Gothic" w:cs="Calibri"/>
                <w:sz w:val="20"/>
                <w:szCs w:val="20"/>
                <w:lang w:eastAsia="sk-SK"/>
              </w:rPr>
            </w:pPr>
            <w:r w:rsidRPr="003873EB">
              <w:rPr>
                <w:rFonts w:ascii="Century Gothic" w:eastAsia="Times New Roman" w:hAnsi="Century Gothic" w:cs="Calibri"/>
                <w:sz w:val="20"/>
                <w:szCs w:val="20"/>
                <w:lang w:eastAsia="sk-SK"/>
              </w:rPr>
              <w:t>anotácia</w:t>
            </w:r>
          </w:p>
        </w:tc>
        <w:tc>
          <w:tcPr>
            <w:tcW w:w="18693" w:type="dxa"/>
            <w:gridSpan w:val="3"/>
          </w:tcPr>
          <w:p w14:paraId="24D9BC67" w14:textId="77777777" w:rsidR="0004155F" w:rsidRPr="0004155F" w:rsidRDefault="0004155F" w:rsidP="0004155F">
            <w:pPr>
              <w:spacing w:after="0" w:line="240" w:lineRule="auto"/>
              <w:jc w:val="both"/>
              <w:rPr>
                <w:rFonts w:ascii="Century Gothic" w:eastAsia="Times New Roman" w:hAnsi="Century Gothic" w:cs="Calibri"/>
                <w:sz w:val="20"/>
                <w:szCs w:val="20"/>
                <w:lang w:eastAsia="sk-SK"/>
              </w:rPr>
            </w:pPr>
            <w:r w:rsidRPr="0004155F">
              <w:rPr>
                <w:rFonts w:ascii="Century Gothic" w:eastAsia="Times New Roman" w:hAnsi="Century Gothic" w:cs="Calibri"/>
                <w:sz w:val="20"/>
                <w:szCs w:val="20"/>
                <w:lang w:eastAsia="sk-SK"/>
              </w:rPr>
              <w:t xml:space="preserve">Daňová medzera na dani z príjmov právnických osôb (Corporate Income Tax Gap – CIT gap) predstavuje rozdiel medzi potenciálnymi daňovými príjmami, ktoré by mali byť vybrané pri plnom dodržiavaní daňových zákonov, a skutočne vybranými príjmami v danom hospodárskom období. Ide o komplexný jav, ktorý odráža kombinovaný vplyv daňovej politiky, správania sa daňovníkov a efektívnosti daňovej správy. Súčasná odborná literatúra rozlišuje tri základné zložky tejto medzery: policy gap, vyplývajúcu z legislatívnych výnimiek, úľav a daňových stimulov, compliance gap, spôsobenú daňovým neplnením povinností (vrátane daňových únikov a agresívnej optimalizácie), a collection gap, súvisiacu s nedokonalosťami v procese výberu a vymáhania daní v ekonomike. </w:t>
            </w:r>
          </w:p>
          <w:p w14:paraId="501D79E8" w14:textId="77777777" w:rsidR="0004155F" w:rsidRPr="0004155F" w:rsidRDefault="0004155F" w:rsidP="0004155F">
            <w:pPr>
              <w:spacing w:after="0" w:line="240" w:lineRule="auto"/>
              <w:jc w:val="both"/>
              <w:rPr>
                <w:rFonts w:ascii="Century Gothic" w:eastAsia="Times New Roman" w:hAnsi="Century Gothic" w:cs="Calibri"/>
                <w:sz w:val="20"/>
                <w:szCs w:val="20"/>
                <w:lang w:eastAsia="sk-SK"/>
              </w:rPr>
            </w:pPr>
            <w:r w:rsidRPr="0004155F">
              <w:rPr>
                <w:rFonts w:ascii="Century Gothic" w:eastAsia="Times New Roman" w:hAnsi="Century Gothic" w:cs="Calibri"/>
                <w:sz w:val="20"/>
                <w:szCs w:val="20"/>
                <w:lang w:eastAsia="sk-SK"/>
              </w:rPr>
              <w:t xml:space="preserve">V kontexte globalizovanej ekonomiky nadobúda CIT gap osobitný význam v dôsledku rastúcej mobility kapitálu a činnosti nadnárodných spoločností, ktoré využívajú rozdiely v daňových systémoch na presun ziskov a eroziu daňových základov. Tieto javy oslabujú národné daňové systémy a znižujú fiškálnu kapacitu štátov financovať verejné politiky. Súčasne však významnú časť daňovej medzery tvorí aj domáca šedá ekonomika, teda neoficiálne, neregistrované alebo podhodnocované ekonomické aktivity, ktoré nie sú zachytené v daňových priznaniach, ale sú súčasťou reálnej produkcie národného hospodárstva. </w:t>
            </w:r>
          </w:p>
          <w:p w14:paraId="15DAA5DB" w14:textId="77777777" w:rsidR="0004155F" w:rsidRPr="0004155F" w:rsidRDefault="0004155F" w:rsidP="0004155F">
            <w:pPr>
              <w:spacing w:after="0" w:line="240" w:lineRule="auto"/>
              <w:jc w:val="both"/>
              <w:rPr>
                <w:rFonts w:ascii="Century Gothic" w:eastAsia="Times New Roman" w:hAnsi="Century Gothic" w:cs="Calibri"/>
                <w:sz w:val="20"/>
                <w:szCs w:val="20"/>
                <w:lang w:eastAsia="sk-SK"/>
              </w:rPr>
            </w:pPr>
            <w:r w:rsidRPr="0004155F">
              <w:rPr>
                <w:rFonts w:ascii="Century Gothic" w:eastAsia="Times New Roman" w:hAnsi="Century Gothic" w:cs="Calibri"/>
                <w:sz w:val="20"/>
                <w:szCs w:val="20"/>
                <w:lang w:eastAsia="sk-SK"/>
              </w:rPr>
              <w:t>Empirické analýzy v rámci Európskej únie ukazujú, že rozsah CIT gap sa medzi krajinami výrazne líši – od menej než 3 % v štátoch s vysokou mierou daňovej disciplíny až po viac než 30 % v krajinách so slabšími inštitucionálnymi kapacitami. Tieto výrazné rozdiely poukazujú na zásadnú úlohu inštitucionálnej kvality, administratívnej efektívnosti, sektorovej štruktúry ekonomiky a regulačného prostredia pri formovaní daňovej disciplíny v oblasti korporátneho zdanenia. Priemerná hodnota CIT gap v roku 2024 v EÚ dosahuje približne 10,9 %, čo v absolútnom vyjadrení predstavuje výpadok príjmov na korporátnej dani desiatky miliárd eur ročne.</w:t>
            </w:r>
          </w:p>
          <w:p w14:paraId="00197D9B" w14:textId="77777777" w:rsidR="0004155F" w:rsidRPr="0004155F" w:rsidRDefault="0004155F" w:rsidP="0004155F">
            <w:pPr>
              <w:spacing w:after="0" w:line="240" w:lineRule="auto"/>
              <w:jc w:val="both"/>
              <w:rPr>
                <w:rFonts w:ascii="Century Gothic" w:eastAsia="Times New Roman" w:hAnsi="Century Gothic" w:cs="Calibri"/>
                <w:sz w:val="20"/>
                <w:szCs w:val="20"/>
                <w:lang w:eastAsia="sk-SK"/>
              </w:rPr>
            </w:pPr>
            <w:r w:rsidRPr="0004155F">
              <w:rPr>
                <w:rFonts w:ascii="Century Gothic" w:eastAsia="Times New Roman" w:hAnsi="Century Gothic" w:cs="Calibri"/>
                <w:sz w:val="20"/>
                <w:szCs w:val="20"/>
                <w:lang w:eastAsia="sk-SK"/>
              </w:rPr>
              <w:t>Meranie CIT gap predstavuje významnú metodologickú výzvu. Tradičné bottom-up prístupy založené na auditoch a mikrodátach poskytujú detailné poznatky o správaní daňovníkov, avšak trpia obmedzenou dostupnosťou dát a slabou medzinárodnou porovnateľnosťou. Naopak, top-down prístupy, vychádzajúce z porovnania národných účtov a daňových priznaní, umožňujú systematické a porovnateľné odhady, no sú citlivé na kvalitu štatistických úprav a predpoklady o správaní nepozorovanej ekonomiky.</w:t>
            </w:r>
          </w:p>
          <w:p w14:paraId="6CF45BE1" w14:textId="77777777" w:rsidR="0004155F" w:rsidRPr="0004155F" w:rsidRDefault="0004155F" w:rsidP="0004155F">
            <w:pPr>
              <w:spacing w:after="0" w:line="240" w:lineRule="auto"/>
              <w:jc w:val="both"/>
              <w:rPr>
                <w:rFonts w:ascii="Century Gothic" w:eastAsia="Times New Roman" w:hAnsi="Century Gothic" w:cs="Calibri"/>
                <w:sz w:val="20"/>
                <w:szCs w:val="20"/>
                <w:lang w:eastAsia="sk-SK"/>
              </w:rPr>
            </w:pPr>
            <w:r w:rsidRPr="0004155F">
              <w:rPr>
                <w:rFonts w:ascii="Century Gothic" w:eastAsia="Times New Roman" w:hAnsi="Century Gothic" w:cs="Calibri"/>
                <w:sz w:val="20"/>
                <w:szCs w:val="20"/>
                <w:lang w:eastAsia="sk-SK"/>
              </w:rPr>
              <w:t>Súčasný výskum preto smeruje k harmonizovaným metodikám, ktoré kombinujú transparentnosť, porovnateľnosť a politickú využiteľnosť výsledkov. Súčasný stav verejných financií európskych krajín si vyžaduje prechod na harmonizovanú metodiku odhadu daňovej medzery vo výbere dane z príjmov právnických osôb v členských štátoch Európskej únie ako reakciu na permanentný rastúci význam boja proti daňovým únikom, agresívnej daňovej optimalizácii a presunu ziskov, ako aj na potrebu medzinárodne porovnateľných a transparentných dát. Riešením je nová metodika JRC prezentovaná ako zjednodušený top-down prístup, založená na úpravách národných účtov, ktoré zachytávajú vplyv šedej ekonomiky. Výhodami novej metodiky sú verejne dostupné údaje Eurostatu, transparentná a reprodukovateľná porovnateľnosť medzi krajinami s možnosťou pravidelnej aktualizácie. Súčasne je nevyhnutné kombinovať odhady CIT gap s analýzami presunu ziskov a BEPS. Práve spoľahlivé a transparentné dáta sú nevyhnutným základom efektívnej daňovej politiky.</w:t>
            </w:r>
          </w:p>
          <w:p w14:paraId="7575A5E5" w14:textId="77777777" w:rsidR="0004155F" w:rsidRPr="0004155F" w:rsidRDefault="0004155F" w:rsidP="0004155F">
            <w:pPr>
              <w:spacing w:after="0" w:line="240" w:lineRule="auto"/>
              <w:jc w:val="both"/>
              <w:rPr>
                <w:rFonts w:ascii="Century Gothic" w:eastAsia="Times New Roman" w:hAnsi="Century Gothic" w:cs="Calibri"/>
                <w:sz w:val="20"/>
                <w:szCs w:val="20"/>
                <w:lang w:eastAsia="sk-SK"/>
              </w:rPr>
            </w:pPr>
            <w:r w:rsidRPr="0004155F">
              <w:rPr>
                <w:rFonts w:ascii="Century Gothic" w:eastAsia="Times New Roman" w:hAnsi="Century Gothic" w:cs="Calibri"/>
                <w:sz w:val="20"/>
                <w:szCs w:val="20"/>
                <w:lang w:eastAsia="sk-SK"/>
              </w:rPr>
              <w:t>Podľa odhadov Európskej komisie patrí Slovenská republika medzi krajiny s nadpriemerne vysokou CIT gap (cca 23 % až 27 %), čo poukazuje na potenciálne slabiny v oblasti daňovej disciplíny, efektívnosti správy korporátnej dane, štruktúry ekonomiky a presunu ziskov spoločností. Napriek tomu Slovensko doposiaľ nemá systematicky rozpracovaný model merania CIT gap ani empirickú analýzu jej determinantov, čo obmedzuje tvorbu efektívnych daňových politík. Dizertačná práca reflektuje práve na túto výskumnú medzeru a usiluje sa o vypracovanie harmonizovaného, empiricky podloženého a politicky relevantného modelu pre SR. Vo všeobecnosti platí, že veľkosť daňovej medzery na korporátnej dani spôsobuje strata spôsobená politickými rozhodnutiami v podobe daňových úľav a daňových výnimiek. Významný podiel má strata spôsobená neplnením si daňových povinností spoločností. Poslednou zložkou, ktorá má vplyv na výšku daňovej medzere je strata spôsobená nedostatočným výberom korporátnej dane. Práve vplyv týchto troch zložiek môže viesť k interpretačným skresleniam.</w:t>
            </w:r>
          </w:p>
          <w:p w14:paraId="57154574" w14:textId="3D6A440B" w:rsidR="00D56419" w:rsidRPr="003873EB" w:rsidRDefault="0004155F" w:rsidP="0004155F">
            <w:pPr>
              <w:spacing w:after="0" w:line="240" w:lineRule="auto"/>
              <w:jc w:val="both"/>
              <w:rPr>
                <w:rFonts w:ascii="Century Gothic" w:eastAsia="Times New Roman" w:hAnsi="Century Gothic" w:cs="Calibri"/>
                <w:sz w:val="20"/>
                <w:szCs w:val="20"/>
                <w:lang w:eastAsia="sk-SK"/>
              </w:rPr>
            </w:pPr>
            <w:r w:rsidRPr="0004155F">
              <w:rPr>
                <w:rFonts w:ascii="Century Gothic" w:eastAsia="Times New Roman" w:hAnsi="Century Gothic" w:cs="Calibri"/>
                <w:sz w:val="20"/>
                <w:szCs w:val="20"/>
                <w:lang w:eastAsia="sk-SK"/>
              </w:rPr>
              <w:t>Medzi hlavné vedecké prínosy práce preto možno zaradiť vytvorenie prvého systematického modelu merania CIT gap pre Slovensko a empirickú identifikáciu hlavných zdrojov daňových strát v SR. Výsledky výskumu by mohli tvoriť základ pre formovanie daňovej správy s cieľom navrhnúť konkrétne kontrolné stratégie  pre Finančnú správu SR z aspektu vybraných sektorov. Navrhnúť odporúčania pre zníženie daňovej medzery bez potreby zvýšenia daňových sadzieb dane z príjmov právnických osôb v SR s cieľom podpory udržateľnej fiškálnej konsolidácie.</w:t>
            </w:r>
          </w:p>
        </w:tc>
      </w:tr>
    </w:tbl>
    <w:p w14:paraId="4CAA4721" w14:textId="77777777" w:rsidR="00436356" w:rsidRPr="003873EB" w:rsidRDefault="00436356">
      <w:pPr>
        <w:rPr>
          <w:rFonts w:ascii="Century Gothic" w:hAnsi="Century Gothic"/>
          <w:sz w:val="20"/>
          <w:szCs w:val="20"/>
        </w:rPr>
      </w:pPr>
    </w:p>
    <w:tbl>
      <w:tblPr>
        <w:tblW w:w="2209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0"/>
        <w:gridCol w:w="8320"/>
        <w:gridCol w:w="3007"/>
        <w:gridCol w:w="7366"/>
      </w:tblGrid>
      <w:tr w:rsidR="00307749" w:rsidRPr="003873EB" w14:paraId="63F4131A" w14:textId="77777777" w:rsidTr="00493A87">
        <w:trPr>
          <w:trHeight w:val="300"/>
        </w:trPr>
        <w:tc>
          <w:tcPr>
            <w:tcW w:w="3400" w:type="dxa"/>
            <w:shd w:val="clear" w:color="auto" w:fill="EAEAEA"/>
            <w:noWrap/>
            <w:hideMark/>
          </w:tcPr>
          <w:p w14:paraId="018575D3" w14:textId="3B7BE3F4" w:rsidR="00616138" w:rsidRDefault="00616138" w:rsidP="00616138">
            <w:pPr>
              <w:spacing w:after="0" w:line="240" w:lineRule="auto"/>
              <w:rPr>
                <w:rFonts w:ascii="Century Gothic" w:eastAsia="Times New Roman" w:hAnsi="Century Gothic" w:cs="Calibri"/>
                <w:b/>
                <w:sz w:val="20"/>
                <w:szCs w:val="20"/>
                <w:lang w:eastAsia="sk-SK"/>
              </w:rPr>
            </w:pPr>
            <w:r>
              <w:rPr>
                <w:rFonts w:ascii="Century Gothic" w:eastAsia="Times New Roman" w:hAnsi="Century Gothic" w:cs="Calibri"/>
                <w:b/>
                <w:sz w:val="20"/>
                <w:szCs w:val="20"/>
                <w:lang w:eastAsia="sk-SK"/>
              </w:rPr>
              <w:t>školiteľ:</w:t>
            </w:r>
          </w:p>
          <w:p w14:paraId="3B779541" w14:textId="734BEDC7" w:rsidR="00307749" w:rsidRPr="003873EB" w:rsidRDefault="00307749" w:rsidP="00307749">
            <w:pPr>
              <w:spacing w:after="0" w:line="240" w:lineRule="auto"/>
              <w:rPr>
                <w:rFonts w:ascii="Century Gothic" w:eastAsia="Times New Roman" w:hAnsi="Century Gothic" w:cs="Calibri"/>
                <w:b/>
                <w:sz w:val="20"/>
                <w:szCs w:val="20"/>
                <w:lang w:eastAsia="sk-SK"/>
              </w:rPr>
            </w:pPr>
            <w:r w:rsidRPr="003873EB">
              <w:rPr>
                <w:rFonts w:ascii="Century Gothic" w:eastAsia="Times New Roman" w:hAnsi="Century Gothic" w:cs="Calibri"/>
                <w:b/>
                <w:sz w:val="20"/>
                <w:szCs w:val="20"/>
                <w:lang w:eastAsia="sk-SK"/>
              </w:rPr>
              <w:t>doc. Ing. J</w:t>
            </w:r>
            <w:r w:rsidR="00671F3C">
              <w:rPr>
                <w:rFonts w:ascii="Century Gothic" w:eastAsia="Times New Roman" w:hAnsi="Century Gothic" w:cs="Calibri"/>
                <w:b/>
                <w:sz w:val="20"/>
                <w:szCs w:val="20"/>
                <w:lang w:eastAsia="sk-SK"/>
              </w:rPr>
              <w:t>uraj Válek</w:t>
            </w:r>
            <w:r w:rsidRPr="003873EB">
              <w:rPr>
                <w:rFonts w:ascii="Century Gothic" w:eastAsia="Times New Roman" w:hAnsi="Century Gothic" w:cs="Calibri"/>
                <w:b/>
                <w:sz w:val="20"/>
                <w:szCs w:val="20"/>
                <w:lang w:eastAsia="sk-SK"/>
              </w:rPr>
              <w:t>, PhD.</w:t>
            </w:r>
          </w:p>
        </w:tc>
        <w:tc>
          <w:tcPr>
            <w:tcW w:w="8320" w:type="dxa"/>
            <w:shd w:val="clear" w:color="auto" w:fill="EAEAEA"/>
          </w:tcPr>
          <w:p w14:paraId="422F0F32" w14:textId="77777777" w:rsidR="00616138" w:rsidRDefault="00616138" w:rsidP="00616138">
            <w:pPr>
              <w:spacing w:after="0" w:line="240" w:lineRule="auto"/>
              <w:rPr>
                <w:rFonts w:ascii="Century Gothic" w:eastAsia="Times New Roman" w:hAnsi="Century Gothic" w:cs="Calibri"/>
                <w:b/>
                <w:sz w:val="20"/>
                <w:szCs w:val="20"/>
                <w:lang w:eastAsia="sk-SK"/>
              </w:rPr>
            </w:pPr>
            <w:r>
              <w:rPr>
                <w:rFonts w:ascii="Century Gothic" w:eastAsia="Times New Roman" w:hAnsi="Century Gothic" w:cs="Calibri"/>
                <w:b/>
                <w:sz w:val="20"/>
                <w:szCs w:val="20"/>
                <w:lang w:eastAsia="sk-SK"/>
              </w:rPr>
              <w:t>Téma dizertačnej práce:</w:t>
            </w:r>
          </w:p>
          <w:p w14:paraId="75A5B766" w14:textId="0D0B761D" w:rsidR="00307749" w:rsidRPr="003873EB" w:rsidRDefault="00671F3C" w:rsidP="00307749">
            <w:pPr>
              <w:spacing w:after="0" w:line="240" w:lineRule="auto"/>
              <w:rPr>
                <w:rFonts w:ascii="Century Gothic" w:eastAsia="Times New Roman" w:hAnsi="Century Gothic" w:cs="Calibri"/>
                <w:b/>
                <w:sz w:val="20"/>
                <w:szCs w:val="20"/>
                <w:lang w:eastAsia="sk-SK"/>
              </w:rPr>
            </w:pPr>
            <w:r w:rsidRPr="00671F3C">
              <w:rPr>
                <w:rFonts w:ascii="Century Gothic" w:eastAsia="Times New Roman" w:hAnsi="Century Gothic" w:cs="Calibri"/>
                <w:b/>
                <w:sz w:val="20"/>
                <w:szCs w:val="20"/>
                <w:lang w:eastAsia="sk-SK"/>
              </w:rPr>
              <w:t>Vplyv zmien nepriamych daní na príjmy a výdavky domácností</w:t>
            </w:r>
          </w:p>
        </w:tc>
        <w:tc>
          <w:tcPr>
            <w:tcW w:w="3007" w:type="dxa"/>
            <w:shd w:val="clear" w:color="auto" w:fill="EAEAEA"/>
            <w:noWrap/>
            <w:hideMark/>
          </w:tcPr>
          <w:p w14:paraId="7179CD9F" w14:textId="3F954D27" w:rsidR="00307749" w:rsidRPr="0014202D" w:rsidRDefault="009204A6" w:rsidP="00307749">
            <w:pPr>
              <w:spacing w:after="0" w:line="240" w:lineRule="auto"/>
              <w:rPr>
                <w:rFonts w:ascii="Century Gothic" w:eastAsia="Times New Roman" w:hAnsi="Century Gothic" w:cs="Calibri"/>
                <w:b/>
                <w:sz w:val="20"/>
                <w:szCs w:val="20"/>
                <w:lang w:eastAsia="sk-SK"/>
              </w:rPr>
            </w:pPr>
            <w:r>
              <w:rPr>
                <w:rFonts w:ascii="Century Gothic" w:eastAsia="Times New Roman" w:hAnsi="Century Gothic" w:cs="Calibri"/>
                <w:b/>
                <w:sz w:val="20"/>
                <w:szCs w:val="20"/>
                <w:lang w:eastAsia="sk-SK"/>
              </w:rPr>
              <w:t xml:space="preserve">denná forma, </w:t>
            </w:r>
            <w:r w:rsidR="00493A87" w:rsidRPr="0014202D">
              <w:rPr>
                <w:rFonts w:ascii="Century Gothic" w:eastAsia="Times New Roman" w:hAnsi="Century Gothic" w:cs="Calibri"/>
                <w:b/>
                <w:sz w:val="20"/>
                <w:szCs w:val="20"/>
                <w:lang w:eastAsia="sk-SK"/>
              </w:rPr>
              <w:t>externá</w:t>
            </w:r>
            <w:r w:rsidR="00D250C1" w:rsidRPr="0014202D">
              <w:rPr>
                <w:rFonts w:ascii="Century Gothic" w:eastAsia="Times New Roman" w:hAnsi="Century Gothic" w:cs="Calibri"/>
                <w:b/>
                <w:sz w:val="20"/>
                <w:szCs w:val="20"/>
                <w:lang w:eastAsia="sk-SK"/>
              </w:rPr>
              <w:t xml:space="preserve"> forma</w:t>
            </w:r>
          </w:p>
        </w:tc>
        <w:tc>
          <w:tcPr>
            <w:tcW w:w="7366" w:type="dxa"/>
            <w:shd w:val="clear" w:color="auto" w:fill="EAEAEA"/>
            <w:noWrap/>
            <w:hideMark/>
          </w:tcPr>
          <w:p w14:paraId="68D2397B" w14:textId="77777777" w:rsidR="00307749" w:rsidRPr="003873EB" w:rsidRDefault="00307749" w:rsidP="00307749">
            <w:pPr>
              <w:spacing w:after="0" w:line="240" w:lineRule="auto"/>
              <w:rPr>
                <w:rFonts w:ascii="Century Gothic" w:eastAsia="Times New Roman" w:hAnsi="Century Gothic" w:cs="Calibri"/>
                <w:b/>
                <w:sz w:val="20"/>
                <w:szCs w:val="20"/>
                <w:lang w:eastAsia="sk-SK"/>
              </w:rPr>
            </w:pPr>
            <w:r w:rsidRPr="003873EB">
              <w:rPr>
                <w:rFonts w:ascii="Century Gothic" w:eastAsia="Times New Roman" w:hAnsi="Century Gothic" w:cs="Calibri"/>
                <w:b/>
                <w:sz w:val="20"/>
                <w:szCs w:val="20"/>
                <w:lang w:eastAsia="sk-SK"/>
              </w:rPr>
              <w:t>Katedra financií</w:t>
            </w:r>
          </w:p>
        </w:tc>
      </w:tr>
      <w:tr w:rsidR="00345FF7" w:rsidRPr="003873EB" w14:paraId="5B4E199D" w14:textId="77777777" w:rsidTr="0046623B">
        <w:trPr>
          <w:trHeight w:val="725"/>
        </w:trPr>
        <w:tc>
          <w:tcPr>
            <w:tcW w:w="3400" w:type="dxa"/>
            <w:noWrap/>
          </w:tcPr>
          <w:p w14:paraId="258DAA1C" w14:textId="77777777" w:rsidR="00345FF7" w:rsidRPr="003873EB" w:rsidRDefault="00345FF7" w:rsidP="00307749">
            <w:pPr>
              <w:spacing w:after="0" w:line="240" w:lineRule="auto"/>
              <w:rPr>
                <w:rFonts w:ascii="Century Gothic" w:eastAsia="Times New Roman" w:hAnsi="Century Gothic" w:cs="Calibri"/>
                <w:b/>
                <w:sz w:val="20"/>
                <w:szCs w:val="20"/>
                <w:lang w:eastAsia="sk-SK"/>
              </w:rPr>
            </w:pPr>
            <w:r w:rsidRPr="003873EB">
              <w:rPr>
                <w:rFonts w:ascii="Century Gothic" w:eastAsia="Times New Roman" w:hAnsi="Century Gothic" w:cs="Calibri"/>
                <w:sz w:val="20"/>
                <w:szCs w:val="20"/>
                <w:lang w:eastAsia="sk-SK"/>
              </w:rPr>
              <w:t>anotácia</w:t>
            </w:r>
          </w:p>
        </w:tc>
        <w:tc>
          <w:tcPr>
            <w:tcW w:w="18693" w:type="dxa"/>
            <w:gridSpan w:val="3"/>
          </w:tcPr>
          <w:p w14:paraId="64123791" w14:textId="77777777" w:rsidR="00671F3C" w:rsidRPr="00671F3C" w:rsidRDefault="00671F3C" w:rsidP="00671F3C">
            <w:pPr>
              <w:spacing w:after="0" w:line="240" w:lineRule="auto"/>
              <w:jc w:val="both"/>
              <w:rPr>
                <w:rFonts w:ascii="Century Gothic" w:eastAsia="Times New Roman" w:hAnsi="Century Gothic" w:cs="Calibri"/>
                <w:bCs/>
                <w:sz w:val="20"/>
                <w:szCs w:val="20"/>
                <w:lang w:eastAsia="sk-SK"/>
              </w:rPr>
            </w:pPr>
            <w:r w:rsidRPr="00671F3C">
              <w:rPr>
                <w:rFonts w:ascii="Century Gothic" w:eastAsia="Times New Roman" w:hAnsi="Century Gothic" w:cs="Calibri"/>
                <w:bCs/>
                <w:sz w:val="20"/>
                <w:szCs w:val="20"/>
                <w:lang w:eastAsia="sk-SK"/>
              </w:rPr>
              <w:t>Vedecké otázky :</w:t>
            </w:r>
          </w:p>
          <w:p w14:paraId="29EA98BC" w14:textId="77777777" w:rsidR="00671F3C" w:rsidRPr="00671F3C" w:rsidRDefault="00671F3C" w:rsidP="00671F3C">
            <w:pPr>
              <w:spacing w:after="0" w:line="240" w:lineRule="auto"/>
              <w:jc w:val="both"/>
              <w:rPr>
                <w:rFonts w:ascii="Century Gothic" w:eastAsia="Times New Roman" w:hAnsi="Century Gothic" w:cs="Calibri"/>
                <w:bCs/>
                <w:sz w:val="20"/>
                <w:szCs w:val="20"/>
                <w:lang w:eastAsia="sk-SK"/>
              </w:rPr>
            </w:pPr>
            <w:r w:rsidRPr="00671F3C">
              <w:rPr>
                <w:rFonts w:ascii="Century Gothic" w:eastAsia="Times New Roman" w:hAnsi="Century Gothic" w:cs="Calibri"/>
                <w:bCs/>
                <w:sz w:val="20"/>
                <w:szCs w:val="20"/>
                <w:lang w:eastAsia="sk-SK"/>
              </w:rPr>
              <w:t xml:space="preserve">Ako ovplyvňuje výška sadzby dane nákupné správanie domácností? </w:t>
            </w:r>
          </w:p>
          <w:p w14:paraId="27F21CB8" w14:textId="77777777" w:rsidR="00671F3C" w:rsidRPr="00671F3C" w:rsidRDefault="00671F3C" w:rsidP="00671F3C">
            <w:pPr>
              <w:spacing w:after="0" w:line="240" w:lineRule="auto"/>
              <w:jc w:val="both"/>
              <w:rPr>
                <w:rFonts w:ascii="Century Gothic" w:eastAsia="Times New Roman" w:hAnsi="Century Gothic" w:cs="Calibri"/>
                <w:bCs/>
                <w:sz w:val="20"/>
                <w:szCs w:val="20"/>
                <w:lang w:eastAsia="sk-SK"/>
              </w:rPr>
            </w:pPr>
            <w:r w:rsidRPr="00671F3C">
              <w:rPr>
                <w:rFonts w:ascii="Century Gothic" w:eastAsia="Times New Roman" w:hAnsi="Century Gothic" w:cs="Calibri"/>
                <w:bCs/>
                <w:sz w:val="20"/>
                <w:szCs w:val="20"/>
                <w:lang w:eastAsia="sk-SK"/>
              </w:rPr>
              <w:t>Aký je vplyv zmeny jednotlivých sadzieb nepriamych daní na štruktúru spotrebného koša domácností?</w:t>
            </w:r>
          </w:p>
          <w:p w14:paraId="0E449012" w14:textId="77777777" w:rsidR="00671F3C" w:rsidRPr="00671F3C" w:rsidRDefault="00671F3C" w:rsidP="00671F3C">
            <w:pPr>
              <w:spacing w:after="0" w:line="240" w:lineRule="auto"/>
              <w:jc w:val="both"/>
              <w:rPr>
                <w:rFonts w:ascii="Century Gothic" w:eastAsia="Times New Roman" w:hAnsi="Century Gothic" w:cs="Calibri"/>
                <w:bCs/>
                <w:sz w:val="20"/>
                <w:szCs w:val="20"/>
                <w:lang w:eastAsia="sk-SK"/>
              </w:rPr>
            </w:pPr>
            <w:r w:rsidRPr="00671F3C">
              <w:rPr>
                <w:rFonts w:ascii="Century Gothic" w:eastAsia="Times New Roman" w:hAnsi="Century Gothic" w:cs="Calibri"/>
                <w:bCs/>
                <w:sz w:val="20"/>
                <w:szCs w:val="20"/>
                <w:lang w:eastAsia="sk-SK"/>
              </w:rPr>
              <w:t xml:space="preserve">Ktoré odvetvia sú najviac ovplyvnené zmenami výdavkov domácností v dôsledku zmien nepriamych daní? </w:t>
            </w:r>
          </w:p>
          <w:p w14:paraId="7757B21E" w14:textId="77777777" w:rsidR="00671F3C" w:rsidRPr="00671F3C" w:rsidRDefault="00671F3C" w:rsidP="00671F3C">
            <w:pPr>
              <w:spacing w:after="0" w:line="240" w:lineRule="auto"/>
              <w:jc w:val="both"/>
              <w:rPr>
                <w:rFonts w:ascii="Century Gothic" w:eastAsia="Times New Roman" w:hAnsi="Century Gothic" w:cs="Calibri"/>
                <w:bCs/>
                <w:sz w:val="20"/>
                <w:szCs w:val="20"/>
                <w:lang w:eastAsia="sk-SK"/>
              </w:rPr>
            </w:pPr>
            <w:r w:rsidRPr="00671F3C">
              <w:rPr>
                <w:rFonts w:ascii="Century Gothic" w:eastAsia="Times New Roman" w:hAnsi="Century Gothic" w:cs="Calibri"/>
                <w:bCs/>
                <w:sz w:val="20"/>
                <w:szCs w:val="20"/>
                <w:lang w:eastAsia="sk-SK"/>
              </w:rPr>
              <w:t>Výsledky pomáhajú tvorcom politík pochopiť, či zvýšenie dane skutočne prinesie očakávané príjmy, alebo či spôsobí pokles spotreby a zmenu spotrebiteľského správania. Výskum umožňuje hodnotiť sociálnu spravodlivosť daňového systému a zistiť, či nepriame dane neúmerne zaťažujú určité skupiny obyvateľstva. Ďalej zistenia pomáhajú predvídať, ako daňové zmeny ovplyvnia ekonomiku ako celok, aby daňová politika bola efektívna, spravodlivá a predvídateľná.</w:t>
            </w:r>
          </w:p>
          <w:p w14:paraId="46C3A998" w14:textId="7A590FD9" w:rsidR="00345FF7" w:rsidRPr="00493A87" w:rsidRDefault="00671F3C" w:rsidP="00671F3C">
            <w:pPr>
              <w:spacing w:after="0" w:line="240" w:lineRule="auto"/>
              <w:jc w:val="both"/>
              <w:rPr>
                <w:rFonts w:ascii="Century Gothic" w:eastAsia="Times New Roman" w:hAnsi="Century Gothic" w:cs="Calibri"/>
                <w:b/>
                <w:sz w:val="20"/>
                <w:szCs w:val="20"/>
                <w:highlight w:val="yellow"/>
                <w:lang w:eastAsia="sk-SK"/>
              </w:rPr>
            </w:pPr>
            <w:r w:rsidRPr="00671F3C">
              <w:rPr>
                <w:rFonts w:ascii="Century Gothic" w:eastAsia="Times New Roman" w:hAnsi="Century Gothic" w:cs="Calibri"/>
                <w:bCs/>
                <w:sz w:val="20"/>
                <w:szCs w:val="20"/>
                <w:lang w:eastAsia="sk-SK"/>
              </w:rPr>
              <w:t>Nepriame dane a ich zmeny ovplyvňujú zmeny v príjmovom a výdavkovom chovaní sa domácností. Sú súčasne jedným zo stabilných príjmov verejných rozpočtov. Výskum je inšpirovaný vedeckým výskumom - modelovania vplyvu priamych a nepriamych daní na výdavky domácností (Savage, M.; Callan, T., 2015), ako aj nepriameho zdanenia a progresivity, v súvislosti so zmenou v príjmoch a blahobyte (Creedy, J., Sleeman, C., 2006), a tiež regresie nepriamych daní v súvislosti s príjmom domácnsotí (Decoster, A., Loughrey, J., O’Donoghue, C., Verwerft, D., 2010)</w:t>
            </w:r>
          </w:p>
        </w:tc>
      </w:tr>
    </w:tbl>
    <w:p w14:paraId="6EAC13BB" w14:textId="62DD99A4" w:rsidR="00F04052" w:rsidRDefault="00F04052">
      <w:pPr>
        <w:rPr>
          <w:rFonts w:ascii="Century Gothic" w:hAnsi="Century Gothic"/>
          <w:sz w:val="20"/>
          <w:szCs w:val="20"/>
        </w:rPr>
      </w:pPr>
    </w:p>
    <w:tbl>
      <w:tblPr>
        <w:tblW w:w="2209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0"/>
        <w:gridCol w:w="8320"/>
        <w:gridCol w:w="3007"/>
        <w:gridCol w:w="7366"/>
      </w:tblGrid>
      <w:tr w:rsidR="00493A87" w:rsidRPr="003873EB" w14:paraId="5A669B07" w14:textId="77777777" w:rsidTr="00580B99">
        <w:trPr>
          <w:trHeight w:val="300"/>
        </w:trPr>
        <w:tc>
          <w:tcPr>
            <w:tcW w:w="3400" w:type="dxa"/>
            <w:shd w:val="clear" w:color="auto" w:fill="EAEAEA"/>
            <w:noWrap/>
            <w:hideMark/>
          </w:tcPr>
          <w:p w14:paraId="7805E149" w14:textId="4E5A23D1" w:rsidR="00616138" w:rsidRDefault="00616138" w:rsidP="00616138">
            <w:pPr>
              <w:spacing w:after="0" w:line="240" w:lineRule="auto"/>
              <w:rPr>
                <w:rFonts w:ascii="Century Gothic" w:eastAsia="Times New Roman" w:hAnsi="Century Gothic" w:cs="Calibri"/>
                <w:b/>
                <w:sz w:val="20"/>
                <w:szCs w:val="20"/>
                <w:lang w:eastAsia="sk-SK"/>
              </w:rPr>
            </w:pPr>
            <w:r>
              <w:rPr>
                <w:rFonts w:ascii="Century Gothic" w:eastAsia="Times New Roman" w:hAnsi="Century Gothic" w:cs="Calibri"/>
                <w:b/>
                <w:sz w:val="20"/>
                <w:szCs w:val="20"/>
                <w:lang w:eastAsia="sk-SK"/>
              </w:rPr>
              <w:t>školiteľ:</w:t>
            </w:r>
          </w:p>
          <w:p w14:paraId="1A464624" w14:textId="48B69C94" w:rsidR="00493A87" w:rsidRPr="003873EB" w:rsidRDefault="00493A87" w:rsidP="00580B99">
            <w:pPr>
              <w:spacing w:after="0" w:line="240" w:lineRule="auto"/>
              <w:rPr>
                <w:rFonts w:ascii="Century Gothic" w:eastAsia="Times New Roman" w:hAnsi="Century Gothic" w:cs="Calibri"/>
                <w:b/>
                <w:sz w:val="20"/>
                <w:szCs w:val="20"/>
                <w:lang w:eastAsia="sk-SK"/>
              </w:rPr>
            </w:pPr>
            <w:r w:rsidRPr="003873EB">
              <w:rPr>
                <w:rFonts w:ascii="Century Gothic" w:eastAsia="Times New Roman" w:hAnsi="Century Gothic" w:cs="Calibri"/>
                <w:b/>
                <w:sz w:val="20"/>
                <w:szCs w:val="20"/>
                <w:lang w:eastAsia="sk-SK"/>
              </w:rPr>
              <w:t>doc. Ing. J</w:t>
            </w:r>
            <w:r w:rsidR="00671F3C">
              <w:rPr>
                <w:rFonts w:ascii="Century Gothic" w:eastAsia="Times New Roman" w:hAnsi="Century Gothic" w:cs="Calibri"/>
                <w:b/>
                <w:sz w:val="20"/>
                <w:szCs w:val="20"/>
                <w:lang w:eastAsia="sk-SK"/>
              </w:rPr>
              <w:t>uraj Válek</w:t>
            </w:r>
            <w:r w:rsidRPr="003873EB">
              <w:rPr>
                <w:rFonts w:ascii="Century Gothic" w:eastAsia="Times New Roman" w:hAnsi="Century Gothic" w:cs="Calibri"/>
                <w:b/>
                <w:sz w:val="20"/>
                <w:szCs w:val="20"/>
                <w:lang w:eastAsia="sk-SK"/>
              </w:rPr>
              <w:t>, PhD.</w:t>
            </w:r>
          </w:p>
        </w:tc>
        <w:tc>
          <w:tcPr>
            <w:tcW w:w="8320" w:type="dxa"/>
            <w:shd w:val="clear" w:color="auto" w:fill="EAEAEA"/>
          </w:tcPr>
          <w:p w14:paraId="2266D0DA" w14:textId="77777777" w:rsidR="00616138" w:rsidRDefault="00616138" w:rsidP="00616138">
            <w:pPr>
              <w:spacing w:after="0" w:line="240" w:lineRule="auto"/>
              <w:rPr>
                <w:rFonts w:ascii="Century Gothic" w:eastAsia="Times New Roman" w:hAnsi="Century Gothic" w:cs="Calibri"/>
                <w:b/>
                <w:sz w:val="20"/>
                <w:szCs w:val="20"/>
                <w:lang w:eastAsia="sk-SK"/>
              </w:rPr>
            </w:pPr>
            <w:r>
              <w:rPr>
                <w:rFonts w:ascii="Century Gothic" w:eastAsia="Times New Roman" w:hAnsi="Century Gothic" w:cs="Calibri"/>
                <w:b/>
                <w:sz w:val="20"/>
                <w:szCs w:val="20"/>
                <w:lang w:eastAsia="sk-SK"/>
              </w:rPr>
              <w:t>Téma dizertačnej práce:</w:t>
            </w:r>
          </w:p>
          <w:p w14:paraId="14FD9DB6" w14:textId="1482F86A" w:rsidR="00493A87" w:rsidRPr="003873EB" w:rsidRDefault="00671F3C" w:rsidP="00580B99">
            <w:pPr>
              <w:spacing w:after="0" w:line="240" w:lineRule="auto"/>
              <w:rPr>
                <w:rFonts w:ascii="Century Gothic" w:eastAsia="Times New Roman" w:hAnsi="Century Gothic" w:cs="Calibri"/>
                <w:b/>
                <w:sz w:val="20"/>
                <w:szCs w:val="20"/>
                <w:lang w:eastAsia="sk-SK"/>
              </w:rPr>
            </w:pPr>
            <w:r w:rsidRPr="00671F3C">
              <w:rPr>
                <w:rFonts w:ascii="Century Gothic" w:eastAsia="Times New Roman" w:hAnsi="Century Gothic" w:cs="Calibri"/>
                <w:b/>
                <w:sz w:val="20"/>
                <w:szCs w:val="20"/>
                <w:lang w:eastAsia="sk-SK"/>
              </w:rPr>
              <w:t>Efektívnosť ekonomických opatrení na ochranu životného prostredia a jeho zdrojov</w:t>
            </w:r>
          </w:p>
        </w:tc>
        <w:tc>
          <w:tcPr>
            <w:tcW w:w="3007" w:type="dxa"/>
            <w:shd w:val="clear" w:color="auto" w:fill="EAEAEA"/>
            <w:noWrap/>
            <w:hideMark/>
          </w:tcPr>
          <w:p w14:paraId="6097FF4B" w14:textId="278701AD" w:rsidR="00493A87" w:rsidRPr="00493A87" w:rsidRDefault="00493A87" w:rsidP="00580B99">
            <w:pPr>
              <w:spacing w:after="0" w:line="240" w:lineRule="auto"/>
              <w:rPr>
                <w:rFonts w:ascii="Century Gothic" w:eastAsia="Times New Roman" w:hAnsi="Century Gothic" w:cs="Calibri"/>
                <w:b/>
                <w:sz w:val="20"/>
                <w:szCs w:val="20"/>
                <w:highlight w:val="yellow"/>
                <w:lang w:eastAsia="sk-SK"/>
              </w:rPr>
            </w:pPr>
            <w:r w:rsidRPr="0014202D">
              <w:rPr>
                <w:rFonts w:ascii="Century Gothic" w:eastAsia="Times New Roman" w:hAnsi="Century Gothic" w:cs="Calibri"/>
                <w:b/>
                <w:sz w:val="20"/>
                <w:szCs w:val="20"/>
                <w:lang w:eastAsia="sk-SK"/>
              </w:rPr>
              <w:t>denná forma</w:t>
            </w:r>
            <w:r w:rsidR="009204A6">
              <w:rPr>
                <w:rFonts w:ascii="Century Gothic" w:eastAsia="Times New Roman" w:hAnsi="Century Gothic" w:cs="Calibri"/>
                <w:b/>
                <w:sz w:val="20"/>
                <w:szCs w:val="20"/>
                <w:lang w:eastAsia="sk-SK"/>
              </w:rPr>
              <w:t>, externá forma</w:t>
            </w:r>
          </w:p>
        </w:tc>
        <w:tc>
          <w:tcPr>
            <w:tcW w:w="7366" w:type="dxa"/>
            <w:shd w:val="clear" w:color="auto" w:fill="EAEAEA"/>
            <w:noWrap/>
            <w:hideMark/>
          </w:tcPr>
          <w:p w14:paraId="4229D895" w14:textId="77777777" w:rsidR="00493A87" w:rsidRPr="003873EB" w:rsidRDefault="00493A87" w:rsidP="00580B99">
            <w:pPr>
              <w:spacing w:after="0" w:line="240" w:lineRule="auto"/>
              <w:rPr>
                <w:rFonts w:ascii="Century Gothic" w:eastAsia="Times New Roman" w:hAnsi="Century Gothic" w:cs="Calibri"/>
                <w:b/>
                <w:sz w:val="20"/>
                <w:szCs w:val="20"/>
                <w:lang w:eastAsia="sk-SK"/>
              </w:rPr>
            </w:pPr>
            <w:r w:rsidRPr="003873EB">
              <w:rPr>
                <w:rFonts w:ascii="Century Gothic" w:eastAsia="Times New Roman" w:hAnsi="Century Gothic" w:cs="Calibri"/>
                <w:b/>
                <w:sz w:val="20"/>
                <w:szCs w:val="20"/>
                <w:lang w:eastAsia="sk-SK"/>
              </w:rPr>
              <w:t>Katedra financií</w:t>
            </w:r>
          </w:p>
        </w:tc>
      </w:tr>
      <w:tr w:rsidR="00493A87" w:rsidRPr="00671F3C" w14:paraId="55BA7BD7" w14:textId="77777777" w:rsidTr="00580B99">
        <w:trPr>
          <w:trHeight w:val="725"/>
        </w:trPr>
        <w:tc>
          <w:tcPr>
            <w:tcW w:w="3400" w:type="dxa"/>
            <w:noWrap/>
          </w:tcPr>
          <w:p w14:paraId="2D563FA6" w14:textId="77777777" w:rsidR="00493A87" w:rsidRPr="00671F3C" w:rsidRDefault="00493A87" w:rsidP="00580B99">
            <w:pPr>
              <w:spacing w:after="0" w:line="240" w:lineRule="auto"/>
              <w:rPr>
                <w:rFonts w:ascii="Century Gothic" w:eastAsia="Times New Roman" w:hAnsi="Century Gothic" w:cs="Calibri"/>
                <w:sz w:val="20"/>
                <w:szCs w:val="20"/>
                <w:lang w:eastAsia="sk-SK"/>
              </w:rPr>
            </w:pPr>
            <w:r w:rsidRPr="00671F3C">
              <w:rPr>
                <w:rFonts w:ascii="Century Gothic" w:eastAsia="Times New Roman" w:hAnsi="Century Gothic" w:cs="Calibri"/>
                <w:sz w:val="20"/>
                <w:szCs w:val="20"/>
                <w:lang w:eastAsia="sk-SK"/>
              </w:rPr>
              <w:t>anotácia</w:t>
            </w:r>
          </w:p>
        </w:tc>
        <w:tc>
          <w:tcPr>
            <w:tcW w:w="18693" w:type="dxa"/>
            <w:gridSpan w:val="3"/>
          </w:tcPr>
          <w:p w14:paraId="78BC4D04" w14:textId="77777777" w:rsidR="00671F3C" w:rsidRPr="00671F3C" w:rsidRDefault="00671F3C" w:rsidP="00671F3C">
            <w:pPr>
              <w:spacing w:after="0" w:line="240" w:lineRule="auto"/>
              <w:jc w:val="both"/>
              <w:rPr>
                <w:rFonts w:ascii="Century Gothic" w:eastAsia="Times New Roman" w:hAnsi="Century Gothic" w:cs="Calibri"/>
                <w:sz w:val="20"/>
                <w:szCs w:val="20"/>
                <w:lang w:eastAsia="sk-SK"/>
              </w:rPr>
            </w:pPr>
            <w:r w:rsidRPr="00671F3C">
              <w:rPr>
                <w:rFonts w:ascii="Century Gothic" w:eastAsia="Times New Roman" w:hAnsi="Century Gothic" w:cs="Calibri"/>
                <w:sz w:val="20"/>
                <w:szCs w:val="20"/>
                <w:lang w:eastAsia="sk-SK"/>
              </w:rPr>
              <w:t>Vedecké otázky, ktoré práca skúma a vysvetlenie ako prispievajú k rozvoju poznania:</w:t>
            </w:r>
          </w:p>
          <w:p w14:paraId="6AE377D4" w14:textId="77777777" w:rsidR="00671F3C" w:rsidRPr="00671F3C" w:rsidRDefault="00671F3C" w:rsidP="00671F3C">
            <w:pPr>
              <w:spacing w:after="0" w:line="240" w:lineRule="auto"/>
              <w:jc w:val="both"/>
              <w:rPr>
                <w:rFonts w:ascii="Century Gothic" w:eastAsia="Times New Roman" w:hAnsi="Century Gothic" w:cs="Calibri"/>
                <w:sz w:val="20"/>
                <w:szCs w:val="20"/>
                <w:lang w:eastAsia="sk-SK"/>
              </w:rPr>
            </w:pPr>
            <w:r w:rsidRPr="00671F3C">
              <w:rPr>
                <w:rFonts w:ascii="Century Gothic" w:eastAsia="Times New Roman" w:hAnsi="Century Gothic" w:cs="Calibri"/>
                <w:sz w:val="20"/>
                <w:szCs w:val="20"/>
                <w:lang w:eastAsia="sk-SK"/>
              </w:rPr>
              <w:t>Do akej miery sú trhové nástroje (napr. environmentálne dane, obchodovanie s emisiami) efektívnejšie pri redukcii environmentálnych externalít v porovnaní s regulačnými nástrojmi?</w:t>
            </w:r>
          </w:p>
          <w:p w14:paraId="3378F714" w14:textId="77777777" w:rsidR="00671F3C" w:rsidRPr="00671F3C" w:rsidRDefault="00671F3C" w:rsidP="00671F3C">
            <w:pPr>
              <w:spacing w:after="0" w:line="240" w:lineRule="auto"/>
              <w:jc w:val="both"/>
              <w:rPr>
                <w:rFonts w:ascii="Century Gothic" w:eastAsia="Times New Roman" w:hAnsi="Century Gothic" w:cs="Calibri"/>
                <w:sz w:val="20"/>
                <w:szCs w:val="20"/>
                <w:lang w:eastAsia="sk-SK"/>
              </w:rPr>
            </w:pPr>
            <w:r w:rsidRPr="00671F3C">
              <w:rPr>
                <w:rFonts w:ascii="Century Gothic" w:eastAsia="Times New Roman" w:hAnsi="Century Gothic" w:cs="Calibri"/>
                <w:sz w:val="20"/>
                <w:szCs w:val="20"/>
                <w:lang w:eastAsia="sk-SK"/>
              </w:rPr>
              <w:t>Aký je vzťah medzi výškou environmentálnych daní a skutočným znižovaním emisií skleníkových plynov?</w:t>
            </w:r>
          </w:p>
          <w:p w14:paraId="42AB85DE" w14:textId="77777777" w:rsidR="00671F3C" w:rsidRPr="00671F3C" w:rsidRDefault="00671F3C" w:rsidP="00671F3C">
            <w:pPr>
              <w:spacing w:after="0" w:line="240" w:lineRule="auto"/>
              <w:jc w:val="both"/>
              <w:rPr>
                <w:rFonts w:ascii="Century Gothic" w:eastAsia="Times New Roman" w:hAnsi="Century Gothic" w:cs="Calibri"/>
                <w:sz w:val="20"/>
                <w:szCs w:val="20"/>
                <w:lang w:eastAsia="sk-SK"/>
              </w:rPr>
            </w:pPr>
            <w:r w:rsidRPr="00671F3C">
              <w:rPr>
                <w:rFonts w:ascii="Century Gothic" w:eastAsia="Times New Roman" w:hAnsi="Century Gothic" w:cs="Calibri"/>
                <w:sz w:val="20"/>
                <w:szCs w:val="20"/>
                <w:lang w:eastAsia="sk-SK"/>
              </w:rPr>
              <w:t>Ako ekonomické stimuly ovplyvňujú investície podnikov do ekologických inovácií?</w:t>
            </w:r>
          </w:p>
          <w:p w14:paraId="493B7A0D" w14:textId="77777777" w:rsidR="00671F3C" w:rsidRPr="00671F3C" w:rsidRDefault="00671F3C" w:rsidP="00671F3C">
            <w:pPr>
              <w:spacing w:after="0" w:line="240" w:lineRule="auto"/>
              <w:jc w:val="both"/>
              <w:rPr>
                <w:rFonts w:ascii="Century Gothic" w:eastAsia="Times New Roman" w:hAnsi="Century Gothic" w:cs="Calibri"/>
                <w:sz w:val="20"/>
                <w:szCs w:val="20"/>
                <w:lang w:eastAsia="sk-SK"/>
              </w:rPr>
            </w:pPr>
            <w:r w:rsidRPr="00671F3C">
              <w:rPr>
                <w:rFonts w:ascii="Century Gothic" w:eastAsia="Times New Roman" w:hAnsi="Century Gothic" w:cs="Calibri"/>
                <w:sz w:val="20"/>
                <w:szCs w:val="20"/>
                <w:lang w:eastAsia="sk-SK"/>
              </w:rPr>
              <w:t>Ktoré typy ekonomických nástrojov prinášajú najvyšší pomer prínosov k nákladom pri znižovaní environmentálnych škôd?</w:t>
            </w:r>
          </w:p>
          <w:p w14:paraId="09C62DDA" w14:textId="77777777" w:rsidR="00671F3C" w:rsidRPr="00671F3C" w:rsidRDefault="00671F3C" w:rsidP="00671F3C">
            <w:pPr>
              <w:spacing w:after="0" w:line="240" w:lineRule="auto"/>
              <w:jc w:val="both"/>
              <w:rPr>
                <w:rFonts w:ascii="Century Gothic" w:eastAsia="Times New Roman" w:hAnsi="Century Gothic" w:cs="Calibri"/>
                <w:sz w:val="20"/>
                <w:szCs w:val="20"/>
                <w:lang w:eastAsia="sk-SK"/>
              </w:rPr>
            </w:pPr>
          </w:p>
          <w:p w14:paraId="12D9B19B" w14:textId="77777777" w:rsidR="00671F3C" w:rsidRPr="00671F3C" w:rsidRDefault="00671F3C" w:rsidP="00671F3C">
            <w:pPr>
              <w:spacing w:after="0" w:line="240" w:lineRule="auto"/>
              <w:jc w:val="both"/>
              <w:rPr>
                <w:rFonts w:ascii="Century Gothic" w:eastAsia="Times New Roman" w:hAnsi="Century Gothic" w:cs="Calibri"/>
                <w:sz w:val="20"/>
                <w:szCs w:val="20"/>
                <w:lang w:eastAsia="sk-SK"/>
              </w:rPr>
            </w:pPr>
            <w:r w:rsidRPr="00671F3C">
              <w:rPr>
                <w:rFonts w:ascii="Century Gothic" w:eastAsia="Times New Roman" w:hAnsi="Century Gothic" w:cs="Calibri"/>
                <w:sz w:val="20"/>
                <w:szCs w:val="20"/>
                <w:lang w:eastAsia="sk-SK"/>
              </w:rPr>
              <w:lastRenderedPageBreak/>
              <w:t>K rozvoju poznania prispievajú zisteniami, aká vysoká má byť daň, aby bola účinná, ale zároveň sociálne prijateľná. Výsledky pomáhajú tvorcom politík pochopiť aké nástroje vybrať, ktoré dosahujú ekologické ciele najlacnejším a najefektívnejším spôsobom. Výskum umožňuje navrhovať politiky, ktoré prinášajú najväčší ekologický efekt za najnižšie náklady. Tzn. ako ekonomické nástroje môžu riešiť environmentálne problémy efektívne, spravodlivo a dlhodobo.</w:t>
            </w:r>
          </w:p>
          <w:p w14:paraId="447F3DA2" w14:textId="77777777" w:rsidR="00671F3C" w:rsidRPr="00671F3C" w:rsidRDefault="00671F3C" w:rsidP="00671F3C">
            <w:pPr>
              <w:spacing w:after="0" w:line="240" w:lineRule="auto"/>
              <w:jc w:val="both"/>
              <w:rPr>
                <w:rFonts w:ascii="Century Gothic" w:eastAsia="Times New Roman" w:hAnsi="Century Gothic" w:cs="Calibri"/>
                <w:sz w:val="20"/>
                <w:szCs w:val="20"/>
                <w:lang w:eastAsia="sk-SK"/>
              </w:rPr>
            </w:pPr>
          </w:p>
          <w:p w14:paraId="606C3DC6" w14:textId="77777777" w:rsidR="00671F3C" w:rsidRPr="00671F3C" w:rsidRDefault="00671F3C" w:rsidP="00671F3C">
            <w:pPr>
              <w:spacing w:after="0" w:line="240" w:lineRule="auto"/>
              <w:jc w:val="both"/>
              <w:rPr>
                <w:rFonts w:ascii="Century Gothic" w:eastAsia="Times New Roman" w:hAnsi="Century Gothic" w:cs="Calibri"/>
                <w:sz w:val="20"/>
                <w:szCs w:val="20"/>
                <w:lang w:eastAsia="sk-SK"/>
              </w:rPr>
            </w:pPr>
            <w:r w:rsidRPr="00671F3C">
              <w:rPr>
                <w:rFonts w:ascii="Century Gothic" w:eastAsia="Times New Roman" w:hAnsi="Century Gothic" w:cs="Calibri"/>
                <w:sz w:val="20"/>
                <w:szCs w:val="20"/>
                <w:lang w:eastAsia="sk-SK"/>
              </w:rPr>
              <w:t>Kvalitné životné prostredie má zásadný význam pre všetky ľudské činnosti. Riešenie je rozobraté  prostredníctvom Zelenej dohody EÚ a ako aj stanovené prostredníctvom cieľov trvalo udržateľného rozvoja OSN. V súčasnosti, ako aj v budúcnosti je nevyhnutné ochraňovať životné prostredie rôznymi opatreniami, ako napríklad limitmi spotreby, vyšším zdanením prístupu k neobnoviteľným zdrojom, zákazom v oblasti ťažkého priemyslu a vypúšťania pesticídov v oblasti poľnohospodárstva. Pri obmedzujúcich opatreniach s cieľom skvalitnenia životného prostredia, by mali hrať prím ekonomické nástroje. Aké by ale boli dopady takýchto opatrení? Nehrozí strata konkurencieschopnosti krajín? Nepredraží sa cena energií, zdrojov a konečnej spotreby? V súčasnosti nastavený systém emisných povoleniek pri obchodovaní s uhlíkom v kombinácií so zdanením by mal predstavovať efektívne riešenie.</w:t>
            </w:r>
          </w:p>
          <w:p w14:paraId="60D4908E" w14:textId="338AD189" w:rsidR="00493A87" w:rsidRPr="00671F3C" w:rsidRDefault="00671F3C" w:rsidP="00671F3C">
            <w:pPr>
              <w:spacing w:after="0" w:line="240" w:lineRule="auto"/>
              <w:jc w:val="both"/>
              <w:rPr>
                <w:rFonts w:ascii="Century Gothic" w:eastAsia="Times New Roman" w:hAnsi="Century Gothic" w:cs="Calibri"/>
                <w:sz w:val="20"/>
                <w:szCs w:val="20"/>
                <w:highlight w:val="yellow"/>
                <w:lang w:eastAsia="sk-SK"/>
              </w:rPr>
            </w:pPr>
            <w:r w:rsidRPr="00671F3C">
              <w:rPr>
                <w:rFonts w:ascii="Century Gothic" w:eastAsia="Times New Roman" w:hAnsi="Century Gothic" w:cs="Calibri"/>
                <w:sz w:val="20"/>
                <w:szCs w:val="20"/>
                <w:lang w:eastAsia="sk-SK"/>
              </w:rPr>
              <w:t>Výskum je inšpirovaný vedeckým výskumom uskutočňovaným v projekte Water4All, ktorej cieľom je umožniť dlhodobú bezpečnosť vody pre všetkých podporou systémovej transformácie a zmeny v rámci celého výskumno-vodohospodárskeho inovačného potrubia a podporovaním prepojenia vlastníkov problémov a poskytovateľov riešení. Téma dizertačnej práce je rozšírená na celé životné prostredie a jeho zdroje. Vďaka všeobecnej globalizácií je v popredí aj globalizácia systému sledovania a manažmentu zdrojov planéty tzv. zdrojová ekonomika. (OECD, 2006) Orientácia krajín na obnoviteľné zdroje energie sa však zvyšuje. A preto je nevyhnutné riešiť tento problém.</w:t>
            </w:r>
          </w:p>
        </w:tc>
      </w:tr>
    </w:tbl>
    <w:p w14:paraId="3244F3B5" w14:textId="5D66ECF2" w:rsidR="00493A87" w:rsidRPr="00671F3C" w:rsidRDefault="00493A87">
      <w:pPr>
        <w:rPr>
          <w:rFonts w:ascii="Century Gothic" w:hAnsi="Century Gothic"/>
          <w:sz w:val="20"/>
          <w:szCs w:val="20"/>
        </w:rPr>
      </w:pPr>
    </w:p>
    <w:p w14:paraId="509CF121" w14:textId="77777777" w:rsidR="00616138" w:rsidRPr="003873EB" w:rsidRDefault="00616138">
      <w:pPr>
        <w:rPr>
          <w:rFonts w:ascii="Century Gothic" w:hAnsi="Century Gothic"/>
          <w:sz w:val="20"/>
          <w:szCs w:val="20"/>
        </w:rPr>
      </w:pPr>
    </w:p>
    <w:tbl>
      <w:tblPr>
        <w:tblW w:w="2209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0"/>
        <w:gridCol w:w="8320"/>
        <w:gridCol w:w="3007"/>
        <w:gridCol w:w="7366"/>
      </w:tblGrid>
      <w:tr w:rsidR="00F04052" w:rsidRPr="003873EB" w14:paraId="0D899F03" w14:textId="77777777" w:rsidTr="00493A87">
        <w:trPr>
          <w:trHeight w:val="300"/>
        </w:trPr>
        <w:tc>
          <w:tcPr>
            <w:tcW w:w="3400" w:type="dxa"/>
            <w:shd w:val="clear" w:color="auto" w:fill="EAEAEA"/>
            <w:noWrap/>
            <w:hideMark/>
          </w:tcPr>
          <w:p w14:paraId="2D0C25E8" w14:textId="77777777" w:rsidR="00616138" w:rsidRDefault="00616138" w:rsidP="00616138">
            <w:pPr>
              <w:spacing w:after="0" w:line="240" w:lineRule="auto"/>
              <w:rPr>
                <w:rFonts w:ascii="Century Gothic" w:eastAsia="Times New Roman" w:hAnsi="Century Gothic" w:cs="Calibri"/>
                <w:b/>
                <w:sz w:val="20"/>
                <w:szCs w:val="20"/>
                <w:lang w:eastAsia="sk-SK"/>
              </w:rPr>
            </w:pPr>
            <w:r>
              <w:rPr>
                <w:rFonts w:ascii="Century Gothic" w:eastAsia="Times New Roman" w:hAnsi="Century Gothic" w:cs="Calibri"/>
                <w:b/>
                <w:sz w:val="20"/>
                <w:szCs w:val="20"/>
                <w:lang w:eastAsia="sk-SK"/>
              </w:rPr>
              <w:t>školiteľ:</w:t>
            </w:r>
          </w:p>
          <w:p w14:paraId="61C72526" w14:textId="77777777" w:rsidR="00F04052" w:rsidRPr="003873EB" w:rsidRDefault="00F04052" w:rsidP="0076679A">
            <w:pPr>
              <w:spacing w:after="0" w:line="240" w:lineRule="auto"/>
              <w:rPr>
                <w:rFonts w:ascii="Century Gothic" w:eastAsia="Times New Roman" w:hAnsi="Century Gothic" w:cs="Calibri"/>
                <w:b/>
                <w:sz w:val="20"/>
                <w:szCs w:val="20"/>
                <w:lang w:eastAsia="sk-SK"/>
              </w:rPr>
            </w:pPr>
            <w:r w:rsidRPr="003873EB">
              <w:rPr>
                <w:rFonts w:ascii="Century Gothic" w:eastAsia="Times New Roman" w:hAnsi="Century Gothic" w:cs="Calibri"/>
                <w:b/>
                <w:sz w:val="20"/>
                <w:szCs w:val="20"/>
                <w:lang w:eastAsia="sk-SK"/>
              </w:rPr>
              <w:t>doc. Ing. Tomáš Ondruška, PhD.</w:t>
            </w:r>
          </w:p>
        </w:tc>
        <w:tc>
          <w:tcPr>
            <w:tcW w:w="8320" w:type="dxa"/>
            <w:shd w:val="clear" w:color="auto" w:fill="EAEAEA"/>
          </w:tcPr>
          <w:p w14:paraId="2FDB6A70" w14:textId="77777777" w:rsidR="00616138" w:rsidRDefault="00616138" w:rsidP="00616138">
            <w:pPr>
              <w:spacing w:after="0" w:line="240" w:lineRule="auto"/>
              <w:rPr>
                <w:rFonts w:ascii="Century Gothic" w:eastAsia="Times New Roman" w:hAnsi="Century Gothic" w:cs="Calibri"/>
                <w:b/>
                <w:sz w:val="20"/>
                <w:szCs w:val="20"/>
                <w:lang w:eastAsia="sk-SK"/>
              </w:rPr>
            </w:pPr>
            <w:r>
              <w:rPr>
                <w:rFonts w:ascii="Century Gothic" w:eastAsia="Times New Roman" w:hAnsi="Century Gothic" w:cs="Calibri"/>
                <w:b/>
                <w:sz w:val="20"/>
                <w:szCs w:val="20"/>
                <w:lang w:eastAsia="sk-SK"/>
              </w:rPr>
              <w:t>Téma dizertačnej práce:</w:t>
            </w:r>
          </w:p>
          <w:p w14:paraId="2FE9070F" w14:textId="48543DFD" w:rsidR="005B74A7" w:rsidRPr="003873EB" w:rsidRDefault="00671F3C" w:rsidP="0076679A">
            <w:pPr>
              <w:spacing w:after="0" w:line="240" w:lineRule="auto"/>
              <w:rPr>
                <w:rFonts w:ascii="Century Gothic" w:eastAsia="Times New Roman" w:hAnsi="Century Gothic" w:cs="Calibri"/>
                <w:b/>
                <w:sz w:val="20"/>
                <w:szCs w:val="20"/>
                <w:lang w:eastAsia="sk-SK"/>
              </w:rPr>
            </w:pPr>
            <w:r w:rsidRPr="00671F3C">
              <w:rPr>
                <w:rFonts w:ascii="Century Gothic" w:eastAsia="Times New Roman" w:hAnsi="Century Gothic" w:cs="Calibri"/>
                <w:b/>
                <w:sz w:val="20"/>
                <w:szCs w:val="20"/>
                <w:lang w:eastAsia="sk-SK"/>
              </w:rPr>
              <w:t>Zmeny v potrebách domácností v kontexte finančného zabezpečenia ich rizík</w:t>
            </w:r>
          </w:p>
        </w:tc>
        <w:tc>
          <w:tcPr>
            <w:tcW w:w="3007" w:type="dxa"/>
            <w:shd w:val="clear" w:color="auto" w:fill="EAEAEA"/>
            <w:noWrap/>
            <w:hideMark/>
          </w:tcPr>
          <w:p w14:paraId="19C0A5A4" w14:textId="3639CA7E" w:rsidR="00F04052" w:rsidRPr="003873EB" w:rsidRDefault="00F04052" w:rsidP="0076679A">
            <w:pPr>
              <w:spacing w:after="0" w:line="240" w:lineRule="auto"/>
              <w:rPr>
                <w:rFonts w:ascii="Century Gothic" w:eastAsia="Times New Roman" w:hAnsi="Century Gothic" w:cs="Calibri"/>
                <w:b/>
                <w:sz w:val="20"/>
                <w:szCs w:val="20"/>
                <w:lang w:eastAsia="sk-SK"/>
              </w:rPr>
            </w:pPr>
            <w:r w:rsidRPr="003873EB">
              <w:rPr>
                <w:rFonts w:ascii="Century Gothic" w:eastAsia="Times New Roman" w:hAnsi="Century Gothic" w:cs="Calibri"/>
                <w:b/>
                <w:sz w:val="20"/>
                <w:szCs w:val="20"/>
                <w:lang w:eastAsia="sk-SK"/>
              </w:rPr>
              <w:t>denná</w:t>
            </w:r>
            <w:r w:rsidR="00D250C1">
              <w:rPr>
                <w:rFonts w:ascii="Century Gothic" w:eastAsia="Times New Roman" w:hAnsi="Century Gothic" w:cs="Calibri"/>
                <w:b/>
                <w:sz w:val="20"/>
                <w:szCs w:val="20"/>
                <w:lang w:eastAsia="sk-SK"/>
              </w:rPr>
              <w:t xml:space="preserve"> forma</w:t>
            </w:r>
          </w:p>
        </w:tc>
        <w:tc>
          <w:tcPr>
            <w:tcW w:w="7366" w:type="dxa"/>
            <w:shd w:val="clear" w:color="auto" w:fill="EAEAEA"/>
            <w:noWrap/>
            <w:hideMark/>
          </w:tcPr>
          <w:p w14:paraId="0E9F3A3B" w14:textId="77777777" w:rsidR="00F04052" w:rsidRPr="003873EB" w:rsidRDefault="00F04052" w:rsidP="0076679A">
            <w:pPr>
              <w:spacing w:after="0" w:line="240" w:lineRule="auto"/>
              <w:rPr>
                <w:rFonts w:ascii="Century Gothic" w:eastAsia="Times New Roman" w:hAnsi="Century Gothic" w:cs="Calibri"/>
                <w:b/>
                <w:sz w:val="20"/>
                <w:szCs w:val="20"/>
                <w:lang w:eastAsia="sk-SK"/>
              </w:rPr>
            </w:pPr>
            <w:r w:rsidRPr="003873EB">
              <w:rPr>
                <w:rFonts w:ascii="Century Gothic" w:eastAsia="Times New Roman" w:hAnsi="Century Gothic" w:cs="Calibri"/>
                <w:b/>
                <w:sz w:val="20"/>
                <w:szCs w:val="20"/>
                <w:lang w:eastAsia="sk-SK"/>
              </w:rPr>
              <w:t>Katedra poisťovníctva</w:t>
            </w:r>
          </w:p>
        </w:tc>
      </w:tr>
      <w:tr w:rsidR="00F04052" w:rsidRPr="003873EB" w14:paraId="38D719E7" w14:textId="77777777" w:rsidTr="0076679A">
        <w:trPr>
          <w:trHeight w:val="300"/>
        </w:trPr>
        <w:tc>
          <w:tcPr>
            <w:tcW w:w="3400" w:type="dxa"/>
            <w:noWrap/>
          </w:tcPr>
          <w:p w14:paraId="73A5E4B1" w14:textId="77777777" w:rsidR="00F04052" w:rsidRPr="003873EB" w:rsidRDefault="00F04052" w:rsidP="0076679A">
            <w:pPr>
              <w:spacing w:after="0" w:line="240" w:lineRule="auto"/>
              <w:rPr>
                <w:rFonts w:ascii="Century Gothic" w:eastAsia="Times New Roman" w:hAnsi="Century Gothic" w:cs="Calibri"/>
                <w:b/>
                <w:sz w:val="20"/>
                <w:szCs w:val="20"/>
                <w:lang w:eastAsia="sk-SK"/>
              </w:rPr>
            </w:pPr>
            <w:r w:rsidRPr="003873EB">
              <w:rPr>
                <w:rFonts w:ascii="Century Gothic" w:eastAsia="Times New Roman" w:hAnsi="Century Gothic" w:cs="Calibri"/>
                <w:sz w:val="20"/>
                <w:szCs w:val="20"/>
                <w:lang w:eastAsia="sk-SK"/>
              </w:rPr>
              <w:t>anotácia</w:t>
            </w:r>
          </w:p>
        </w:tc>
        <w:tc>
          <w:tcPr>
            <w:tcW w:w="18693" w:type="dxa"/>
            <w:gridSpan w:val="3"/>
          </w:tcPr>
          <w:p w14:paraId="3E4359C1" w14:textId="472203A6" w:rsidR="00F04052" w:rsidRPr="003873EB" w:rsidRDefault="00671F3C" w:rsidP="00671F3C">
            <w:pPr>
              <w:spacing w:after="0" w:line="240" w:lineRule="auto"/>
              <w:jc w:val="both"/>
              <w:rPr>
                <w:rFonts w:ascii="Century Gothic" w:eastAsia="Times New Roman" w:hAnsi="Century Gothic" w:cs="Calibri"/>
                <w:sz w:val="20"/>
                <w:szCs w:val="20"/>
                <w:lang w:eastAsia="sk-SK"/>
              </w:rPr>
            </w:pPr>
            <w:r w:rsidRPr="00671F3C">
              <w:rPr>
                <w:rFonts w:ascii="Century Gothic" w:eastAsia="Times New Roman" w:hAnsi="Century Gothic" w:cs="Calibri"/>
                <w:sz w:val="20"/>
                <w:szCs w:val="20"/>
                <w:lang w:eastAsia="sk-SK"/>
              </w:rPr>
              <w:t xml:space="preserve">Ekonomická situácia domácností sa mení v priebehu celého životného cyklu, na čo by mali reflektovať aj stratégie zabezpečenia negatívnych dosahov rôznych rizík. Finančné rozhodnutia </w:t>
            </w:r>
            <w:r w:rsidR="00BD4955">
              <w:rPr>
                <w:rFonts w:ascii="Century Gothic" w:eastAsia="Times New Roman" w:hAnsi="Century Gothic" w:cs="Calibri"/>
                <w:sz w:val="20"/>
                <w:szCs w:val="20"/>
                <w:lang w:eastAsia="sk-SK"/>
              </w:rPr>
              <w:t xml:space="preserve"> </w:t>
            </w:r>
            <w:r w:rsidRPr="00671F3C">
              <w:rPr>
                <w:rFonts w:ascii="Century Gothic" w:eastAsia="Times New Roman" w:hAnsi="Century Gothic" w:cs="Calibri"/>
                <w:sz w:val="20"/>
                <w:szCs w:val="20"/>
                <w:lang w:eastAsia="sk-SK"/>
              </w:rPr>
              <w:t>domácností sa tvoria za prítomnosti rizika, čo ich realizáciu značne komplikuje. V rámci riadenia rizík domácností a ich finančného zabezpečenia je tak neustále potrebné vytvárať</w:t>
            </w:r>
            <w:r w:rsidR="00BD4955">
              <w:rPr>
                <w:rFonts w:ascii="Century Gothic" w:eastAsia="Times New Roman" w:hAnsi="Century Gothic" w:cs="Calibri"/>
                <w:sz w:val="20"/>
                <w:szCs w:val="20"/>
                <w:lang w:eastAsia="sk-SK"/>
              </w:rPr>
              <w:t xml:space="preserve"> </w:t>
            </w:r>
            <w:r w:rsidRPr="00671F3C">
              <w:rPr>
                <w:rFonts w:ascii="Century Gothic" w:eastAsia="Times New Roman" w:hAnsi="Century Gothic" w:cs="Calibri"/>
                <w:sz w:val="20"/>
                <w:szCs w:val="20"/>
                <w:lang w:eastAsia="sk-SK"/>
              </w:rPr>
              <w:t>a</w:t>
            </w:r>
            <w:r w:rsidR="00BD4955">
              <w:rPr>
                <w:rFonts w:ascii="Century Gothic" w:eastAsia="Times New Roman" w:hAnsi="Century Gothic" w:cs="Calibri"/>
                <w:sz w:val="20"/>
                <w:szCs w:val="20"/>
                <w:lang w:eastAsia="sk-SK"/>
              </w:rPr>
              <w:t> </w:t>
            </w:r>
            <w:r w:rsidRPr="00671F3C">
              <w:rPr>
                <w:rFonts w:ascii="Century Gothic" w:eastAsia="Times New Roman" w:hAnsi="Century Gothic" w:cs="Calibri"/>
                <w:sz w:val="20"/>
                <w:szCs w:val="20"/>
                <w:lang w:eastAsia="sk-SK"/>
              </w:rPr>
              <w:t>prehodnocovať</w:t>
            </w:r>
            <w:r w:rsidR="00BD4955">
              <w:rPr>
                <w:rFonts w:ascii="Century Gothic" w:eastAsia="Times New Roman" w:hAnsi="Century Gothic" w:cs="Calibri"/>
                <w:sz w:val="20"/>
                <w:szCs w:val="20"/>
                <w:lang w:eastAsia="sk-SK"/>
              </w:rPr>
              <w:t xml:space="preserve"> </w:t>
            </w:r>
            <w:r w:rsidRPr="00671F3C">
              <w:rPr>
                <w:rFonts w:ascii="Century Gothic" w:eastAsia="Times New Roman" w:hAnsi="Century Gothic" w:cs="Calibri"/>
                <w:sz w:val="20"/>
                <w:szCs w:val="20"/>
                <w:lang w:eastAsia="sk-SK"/>
              </w:rPr>
              <w:t>rozhodnutia o kúpe poistenia, tvorbe úspor, investovaní a spotrebe. Teória rozhodovania, ktorá ponúka rámec na analýzu normatívneho a deskriptívneho rozhodovania v podmienkach rizika, predpokladá, že ochota jednotlivcov podstupovať riziko ovplyvňuje aj ich aktuálna fáza v rámci životného cyklu rodiny resp. zmeny v štruktúre domácnosti. Cieľom</w:t>
            </w:r>
            <w:r w:rsidR="00BD4955">
              <w:rPr>
                <w:rFonts w:ascii="Century Gothic" w:eastAsia="Times New Roman" w:hAnsi="Century Gothic" w:cs="Calibri"/>
                <w:sz w:val="20"/>
                <w:szCs w:val="20"/>
                <w:lang w:eastAsia="sk-SK"/>
              </w:rPr>
              <w:t xml:space="preserve"> </w:t>
            </w:r>
            <w:r w:rsidRPr="00671F3C">
              <w:rPr>
                <w:rFonts w:ascii="Century Gothic" w:eastAsia="Times New Roman" w:hAnsi="Century Gothic" w:cs="Calibri"/>
                <w:sz w:val="20"/>
                <w:szCs w:val="20"/>
                <w:lang w:eastAsia="sk-SK"/>
              </w:rPr>
              <w:t>dizertačnej práce je zhodnotenie vplyvu zmien v životnom cykle domácností na ochotu jednotlivcov podstupovať riziká a riadiť ich prostredníctvom rôznych nástrojov financovania negatívnych následkov rizík.</w:t>
            </w:r>
          </w:p>
        </w:tc>
      </w:tr>
    </w:tbl>
    <w:p w14:paraId="66519908" w14:textId="77777777" w:rsidR="00F04052" w:rsidRPr="003873EB" w:rsidRDefault="00F04052">
      <w:pPr>
        <w:rPr>
          <w:rFonts w:ascii="Century Gothic" w:hAnsi="Century Gothic"/>
          <w:sz w:val="20"/>
          <w:szCs w:val="20"/>
        </w:rPr>
      </w:pPr>
    </w:p>
    <w:tbl>
      <w:tblPr>
        <w:tblW w:w="2209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0"/>
        <w:gridCol w:w="8320"/>
        <w:gridCol w:w="3007"/>
        <w:gridCol w:w="7366"/>
      </w:tblGrid>
      <w:tr w:rsidR="00F04052" w:rsidRPr="003873EB" w14:paraId="13B4613C" w14:textId="77777777" w:rsidTr="0046623B">
        <w:trPr>
          <w:trHeight w:val="570"/>
        </w:trPr>
        <w:tc>
          <w:tcPr>
            <w:tcW w:w="3400" w:type="dxa"/>
            <w:shd w:val="clear" w:color="auto" w:fill="EAEAEA"/>
            <w:noWrap/>
            <w:hideMark/>
          </w:tcPr>
          <w:p w14:paraId="7D896B7B" w14:textId="4E4161DB" w:rsidR="00616138" w:rsidRDefault="00616138" w:rsidP="00616138">
            <w:pPr>
              <w:spacing w:after="0" w:line="240" w:lineRule="auto"/>
              <w:rPr>
                <w:rFonts w:ascii="Century Gothic" w:eastAsia="Times New Roman" w:hAnsi="Century Gothic" w:cs="Calibri"/>
                <w:b/>
                <w:sz w:val="20"/>
                <w:szCs w:val="20"/>
                <w:lang w:eastAsia="sk-SK"/>
              </w:rPr>
            </w:pPr>
            <w:r>
              <w:rPr>
                <w:rFonts w:ascii="Century Gothic" w:eastAsia="Times New Roman" w:hAnsi="Century Gothic" w:cs="Calibri"/>
                <w:b/>
                <w:sz w:val="20"/>
                <w:szCs w:val="20"/>
                <w:lang w:eastAsia="sk-SK"/>
              </w:rPr>
              <w:t>školiteľ:</w:t>
            </w:r>
          </w:p>
          <w:p w14:paraId="1A511EC6" w14:textId="6A7EBA29" w:rsidR="00F04052" w:rsidRPr="003873EB" w:rsidRDefault="00F04052" w:rsidP="00323142">
            <w:pPr>
              <w:spacing w:after="0" w:line="240" w:lineRule="auto"/>
              <w:rPr>
                <w:rFonts w:ascii="Century Gothic" w:eastAsia="Times New Roman" w:hAnsi="Century Gothic" w:cs="Calibri"/>
                <w:b/>
                <w:sz w:val="20"/>
                <w:szCs w:val="20"/>
                <w:lang w:eastAsia="sk-SK"/>
              </w:rPr>
            </w:pPr>
            <w:r w:rsidRPr="003873EB">
              <w:rPr>
                <w:rFonts w:ascii="Century Gothic" w:eastAsia="Times New Roman" w:hAnsi="Century Gothic" w:cs="Calibri"/>
                <w:b/>
                <w:sz w:val="20"/>
                <w:szCs w:val="20"/>
                <w:lang w:eastAsia="sk-SK"/>
              </w:rPr>
              <w:t xml:space="preserve">prof. Ing. </w:t>
            </w:r>
            <w:r w:rsidR="00E00B72">
              <w:rPr>
                <w:rFonts w:ascii="Century Gothic" w:eastAsia="Times New Roman" w:hAnsi="Century Gothic" w:cs="Calibri"/>
                <w:b/>
                <w:sz w:val="20"/>
                <w:szCs w:val="20"/>
                <w:lang w:eastAsia="sk-SK"/>
              </w:rPr>
              <w:t>Tomáš Ondruška</w:t>
            </w:r>
            <w:r w:rsidRPr="003873EB">
              <w:rPr>
                <w:rFonts w:ascii="Century Gothic" w:eastAsia="Times New Roman" w:hAnsi="Century Gothic" w:cs="Calibri"/>
                <w:b/>
                <w:sz w:val="20"/>
                <w:szCs w:val="20"/>
                <w:lang w:eastAsia="sk-SK"/>
              </w:rPr>
              <w:t>, PhD.</w:t>
            </w:r>
          </w:p>
        </w:tc>
        <w:tc>
          <w:tcPr>
            <w:tcW w:w="8320" w:type="dxa"/>
            <w:shd w:val="clear" w:color="auto" w:fill="EAEAEA"/>
            <w:hideMark/>
          </w:tcPr>
          <w:p w14:paraId="7E7103A1" w14:textId="64D5559C" w:rsidR="00616138" w:rsidRDefault="00616138" w:rsidP="00616138">
            <w:pPr>
              <w:spacing w:after="0" w:line="240" w:lineRule="auto"/>
              <w:rPr>
                <w:rFonts w:ascii="Century Gothic" w:eastAsia="Times New Roman" w:hAnsi="Century Gothic" w:cs="Calibri"/>
                <w:b/>
                <w:sz w:val="20"/>
                <w:szCs w:val="20"/>
                <w:lang w:eastAsia="sk-SK"/>
              </w:rPr>
            </w:pPr>
            <w:r>
              <w:rPr>
                <w:rFonts w:ascii="Century Gothic" w:eastAsia="Times New Roman" w:hAnsi="Century Gothic" w:cs="Calibri"/>
                <w:b/>
                <w:sz w:val="20"/>
                <w:szCs w:val="20"/>
                <w:lang w:eastAsia="sk-SK"/>
              </w:rPr>
              <w:t>Téma dizertačnej práce:</w:t>
            </w:r>
          </w:p>
          <w:p w14:paraId="35165B10" w14:textId="7570B0EF" w:rsidR="00F04052" w:rsidRPr="003873EB" w:rsidRDefault="00E00B72" w:rsidP="00323142">
            <w:pPr>
              <w:spacing w:after="0" w:line="240" w:lineRule="auto"/>
              <w:rPr>
                <w:rFonts w:ascii="Century Gothic" w:eastAsia="Times New Roman" w:hAnsi="Century Gothic" w:cs="Calibri"/>
                <w:b/>
                <w:sz w:val="20"/>
                <w:szCs w:val="20"/>
                <w:lang w:eastAsia="sk-SK"/>
              </w:rPr>
            </w:pPr>
            <w:r w:rsidRPr="00E00B72">
              <w:rPr>
                <w:rFonts w:ascii="Century Gothic" w:eastAsia="Times New Roman" w:hAnsi="Century Gothic" w:cs="Calibri"/>
                <w:b/>
                <w:sz w:val="20"/>
                <w:szCs w:val="20"/>
                <w:lang w:eastAsia="sk-SK"/>
              </w:rPr>
              <w:t>Multidimenzionálne hodnotenie vplyvu digitalizácie poisťovníctva na blahobyt spotrebiteľov</w:t>
            </w:r>
          </w:p>
        </w:tc>
        <w:tc>
          <w:tcPr>
            <w:tcW w:w="3007" w:type="dxa"/>
            <w:shd w:val="clear" w:color="auto" w:fill="EAEAEA"/>
            <w:noWrap/>
            <w:hideMark/>
          </w:tcPr>
          <w:p w14:paraId="35B03314" w14:textId="33E14BE0" w:rsidR="00F04052" w:rsidRPr="003873EB" w:rsidRDefault="00F04052" w:rsidP="00323142">
            <w:pPr>
              <w:spacing w:after="0" w:line="240" w:lineRule="auto"/>
              <w:rPr>
                <w:rFonts w:ascii="Century Gothic" w:eastAsia="Times New Roman" w:hAnsi="Century Gothic" w:cs="Calibri"/>
                <w:b/>
                <w:sz w:val="20"/>
                <w:szCs w:val="20"/>
                <w:lang w:eastAsia="sk-SK"/>
              </w:rPr>
            </w:pPr>
            <w:r w:rsidRPr="003873EB">
              <w:rPr>
                <w:rFonts w:ascii="Century Gothic" w:eastAsia="Times New Roman" w:hAnsi="Century Gothic" w:cs="Calibri"/>
                <w:b/>
                <w:sz w:val="20"/>
                <w:szCs w:val="20"/>
                <w:lang w:eastAsia="sk-SK"/>
              </w:rPr>
              <w:t>denná forma</w:t>
            </w:r>
          </w:p>
        </w:tc>
        <w:tc>
          <w:tcPr>
            <w:tcW w:w="7366" w:type="dxa"/>
            <w:shd w:val="clear" w:color="auto" w:fill="EAEAEA"/>
            <w:noWrap/>
            <w:hideMark/>
          </w:tcPr>
          <w:p w14:paraId="43A45DEF" w14:textId="77777777" w:rsidR="00F04052" w:rsidRPr="003873EB" w:rsidRDefault="00F04052" w:rsidP="00323142">
            <w:pPr>
              <w:spacing w:after="0" w:line="240" w:lineRule="auto"/>
              <w:rPr>
                <w:rFonts w:ascii="Century Gothic" w:eastAsia="Times New Roman" w:hAnsi="Century Gothic" w:cs="Calibri"/>
                <w:b/>
                <w:sz w:val="20"/>
                <w:szCs w:val="20"/>
                <w:lang w:eastAsia="sk-SK"/>
              </w:rPr>
            </w:pPr>
            <w:r w:rsidRPr="003873EB">
              <w:rPr>
                <w:rFonts w:ascii="Century Gothic" w:eastAsia="Times New Roman" w:hAnsi="Century Gothic" w:cs="Calibri"/>
                <w:b/>
                <w:sz w:val="20"/>
                <w:szCs w:val="20"/>
                <w:lang w:eastAsia="sk-SK"/>
              </w:rPr>
              <w:t>Katedra poisťovníctva</w:t>
            </w:r>
          </w:p>
        </w:tc>
      </w:tr>
      <w:tr w:rsidR="00F04052" w:rsidRPr="003873EB" w14:paraId="54D93C0A" w14:textId="77777777" w:rsidTr="00323142">
        <w:trPr>
          <w:trHeight w:val="570"/>
        </w:trPr>
        <w:tc>
          <w:tcPr>
            <w:tcW w:w="3400" w:type="dxa"/>
            <w:noWrap/>
          </w:tcPr>
          <w:p w14:paraId="0A02F23F" w14:textId="77777777" w:rsidR="00F04052" w:rsidRPr="003873EB" w:rsidRDefault="00F04052" w:rsidP="00323142">
            <w:pPr>
              <w:spacing w:after="0" w:line="240" w:lineRule="auto"/>
              <w:rPr>
                <w:rFonts w:ascii="Century Gothic" w:eastAsia="Times New Roman" w:hAnsi="Century Gothic" w:cs="Calibri"/>
                <w:b/>
                <w:sz w:val="20"/>
                <w:szCs w:val="20"/>
                <w:lang w:eastAsia="sk-SK"/>
              </w:rPr>
            </w:pPr>
            <w:r w:rsidRPr="003873EB">
              <w:rPr>
                <w:rFonts w:ascii="Century Gothic" w:eastAsia="Times New Roman" w:hAnsi="Century Gothic" w:cs="Calibri"/>
                <w:sz w:val="20"/>
                <w:szCs w:val="20"/>
                <w:lang w:eastAsia="sk-SK"/>
              </w:rPr>
              <w:t>anotácia</w:t>
            </w:r>
          </w:p>
        </w:tc>
        <w:tc>
          <w:tcPr>
            <w:tcW w:w="18693" w:type="dxa"/>
            <w:gridSpan w:val="3"/>
          </w:tcPr>
          <w:p w14:paraId="2E141E40" w14:textId="73EC4627" w:rsidR="00F04052" w:rsidRPr="003873EB" w:rsidRDefault="00EE7B27" w:rsidP="00EE7B27">
            <w:pPr>
              <w:spacing w:after="0" w:line="240" w:lineRule="auto"/>
              <w:jc w:val="both"/>
              <w:rPr>
                <w:rFonts w:ascii="Century Gothic" w:eastAsia="Times New Roman" w:hAnsi="Century Gothic" w:cs="Calibri"/>
                <w:sz w:val="20"/>
                <w:szCs w:val="20"/>
                <w:lang w:eastAsia="sk-SK"/>
              </w:rPr>
            </w:pPr>
            <w:r w:rsidRPr="00EE7B27">
              <w:rPr>
                <w:rFonts w:ascii="Century Gothic" w:eastAsia="Times New Roman" w:hAnsi="Century Gothic" w:cs="Calibri"/>
                <w:sz w:val="20"/>
                <w:szCs w:val="20"/>
                <w:lang w:eastAsia="sk-SK"/>
              </w:rPr>
              <w:t>Dizertačná práca sa zameriava na multidimenzionálne hodnotenie vplyvu digitálnej transformácie poisťovníctva v kontexte Industry 5.0 na blahobyt spotrebiteľov. Skúma, ako zavádzanie digitálnych technológií, vrátane online distribučných kanálov, umelej inteligencie, personalizovaných poistných riešení a digitálnych nástrojov ovplyvňuje rozhodovanie spotrebiteľov, ich dôveru, vnímanie transparentnosti a celkovú spokojnosť s poistnými službami. Práca sa sústreďuje na identifikáciu pozitívnych aj negatívnych dosahov digitalizácie, vrátane rizík súvisiacich s digitálnou nerovnosťou, ochranou osobných údajov a bezpečnosťou. Výsledky výskumu majú prispieť k hlbšiemu pochopeniu vzťahu medzi digitálnymi inováciami v poisťovníctve a blahobytom spotrebiteľov a poskytnúť odporúčania pre poisťovne aj tvorcov regulácií.</w:t>
            </w:r>
          </w:p>
        </w:tc>
      </w:tr>
    </w:tbl>
    <w:p w14:paraId="2CE12DB7" w14:textId="5B42B622" w:rsidR="00F04052" w:rsidRDefault="00F04052" w:rsidP="00207158">
      <w:pPr>
        <w:spacing w:before="240"/>
        <w:rPr>
          <w:rFonts w:ascii="Century Gothic" w:hAnsi="Century Gothic"/>
          <w:sz w:val="20"/>
          <w:szCs w:val="20"/>
        </w:rPr>
      </w:pPr>
    </w:p>
    <w:tbl>
      <w:tblPr>
        <w:tblW w:w="2209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0"/>
        <w:gridCol w:w="8320"/>
        <w:gridCol w:w="3007"/>
        <w:gridCol w:w="7366"/>
      </w:tblGrid>
      <w:tr w:rsidR="00E445E8" w:rsidRPr="003873EB" w14:paraId="76EF0D6E" w14:textId="77777777" w:rsidTr="00751FE0">
        <w:trPr>
          <w:trHeight w:val="570"/>
        </w:trPr>
        <w:tc>
          <w:tcPr>
            <w:tcW w:w="3400" w:type="dxa"/>
            <w:shd w:val="clear" w:color="auto" w:fill="EAEAEA"/>
            <w:noWrap/>
            <w:hideMark/>
          </w:tcPr>
          <w:p w14:paraId="147ADAD4" w14:textId="77777777" w:rsidR="00E445E8" w:rsidRDefault="00E445E8" w:rsidP="00751FE0">
            <w:pPr>
              <w:spacing w:after="0" w:line="240" w:lineRule="auto"/>
              <w:rPr>
                <w:rFonts w:ascii="Century Gothic" w:eastAsia="Times New Roman" w:hAnsi="Century Gothic" w:cs="Calibri"/>
                <w:b/>
                <w:sz w:val="20"/>
                <w:szCs w:val="20"/>
                <w:lang w:eastAsia="sk-SK"/>
              </w:rPr>
            </w:pPr>
            <w:r>
              <w:rPr>
                <w:rFonts w:ascii="Century Gothic" w:eastAsia="Times New Roman" w:hAnsi="Century Gothic" w:cs="Calibri"/>
                <w:b/>
                <w:sz w:val="20"/>
                <w:szCs w:val="20"/>
                <w:lang w:eastAsia="sk-SK"/>
              </w:rPr>
              <w:t>školiteľka:</w:t>
            </w:r>
          </w:p>
          <w:p w14:paraId="4829A612" w14:textId="77777777" w:rsidR="00E445E8" w:rsidRPr="003873EB" w:rsidRDefault="00E445E8" w:rsidP="00751FE0">
            <w:pPr>
              <w:spacing w:after="0" w:line="240" w:lineRule="auto"/>
              <w:rPr>
                <w:rFonts w:ascii="Century Gothic" w:eastAsia="Times New Roman" w:hAnsi="Century Gothic" w:cs="Calibri"/>
                <w:b/>
                <w:sz w:val="20"/>
                <w:szCs w:val="20"/>
                <w:lang w:eastAsia="sk-SK"/>
              </w:rPr>
            </w:pPr>
            <w:r w:rsidRPr="003873EB">
              <w:rPr>
                <w:rFonts w:ascii="Century Gothic" w:eastAsia="Times New Roman" w:hAnsi="Century Gothic" w:cs="Calibri"/>
                <w:b/>
                <w:sz w:val="20"/>
                <w:szCs w:val="20"/>
                <w:lang w:eastAsia="sk-SK"/>
              </w:rPr>
              <w:t>prof. Ing. Erika Pastoráková, PhD.</w:t>
            </w:r>
          </w:p>
        </w:tc>
        <w:tc>
          <w:tcPr>
            <w:tcW w:w="8320" w:type="dxa"/>
            <w:shd w:val="clear" w:color="auto" w:fill="EAEAEA"/>
          </w:tcPr>
          <w:p w14:paraId="00D4DD14" w14:textId="77777777" w:rsidR="00E445E8" w:rsidRDefault="00E445E8" w:rsidP="00751FE0">
            <w:pPr>
              <w:spacing w:after="0" w:line="240" w:lineRule="auto"/>
              <w:rPr>
                <w:rFonts w:ascii="Century Gothic" w:eastAsia="Times New Roman" w:hAnsi="Century Gothic" w:cs="Calibri"/>
                <w:b/>
                <w:sz w:val="20"/>
                <w:szCs w:val="20"/>
                <w:lang w:eastAsia="sk-SK"/>
              </w:rPr>
            </w:pPr>
            <w:r>
              <w:rPr>
                <w:rFonts w:ascii="Century Gothic" w:eastAsia="Times New Roman" w:hAnsi="Century Gothic" w:cs="Calibri"/>
                <w:b/>
                <w:sz w:val="20"/>
                <w:szCs w:val="20"/>
                <w:lang w:eastAsia="sk-SK"/>
              </w:rPr>
              <w:t>Téma dizertačnej práce:</w:t>
            </w:r>
          </w:p>
          <w:p w14:paraId="01320842" w14:textId="77777777" w:rsidR="00E445E8" w:rsidRPr="003873EB" w:rsidRDefault="00E445E8" w:rsidP="00751FE0">
            <w:pPr>
              <w:spacing w:after="0" w:line="240" w:lineRule="auto"/>
              <w:rPr>
                <w:rFonts w:ascii="Century Gothic" w:eastAsia="Times New Roman" w:hAnsi="Century Gothic" w:cs="Calibri"/>
                <w:b/>
                <w:sz w:val="20"/>
                <w:szCs w:val="20"/>
                <w:lang w:eastAsia="sk-SK"/>
              </w:rPr>
            </w:pPr>
            <w:r w:rsidRPr="00E00B72">
              <w:rPr>
                <w:rFonts w:ascii="Century Gothic" w:eastAsia="Times New Roman" w:hAnsi="Century Gothic" w:cs="Calibri"/>
                <w:b/>
                <w:sz w:val="20"/>
                <w:szCs w:val="20"/>
                <w:lang w:eastAsia="sk-SK"/>
              </w:rPr>
              <w:t>Poistenie ako nástoj finančnej inklúzie: determinanty, bariéry a sociálno-ekonomické dopady</w:t>
            </w:r>
          </w:p>
        </w:tc>
        <w:tc>
          <w:tcPr>
            <w:tcW w:w="3007" w:type="dxa"/>
            <w:shd w:val="clear" w:color="auto" w:fill="EAEAEA"/>
            <w:noWrap/>
            <w:hideMark/>
          </w:tcPr>
          <w:p w14:paraId="77738419" w14:textId="77777777" w:rsidR="00E445E8" w:rsidRPr="003873EB" w:rsidRDefault="00E445E8" w:rsidP="00751FE0">
            <w:pPr>
              <w:spacing w:after="0" w:line="240" w:lineRule="auto"/>
              <w:rPr>
                <w:rFonts w:ascii="Century Gothic" w:eastAsia="Times New Roman" w:hAnsi="Century Gothic" w:cs="Calibri"/>
                <w:b/>
                <w:sz w:val="20"/>
                <w:szCs w:val="20"/>
                <w:lang w:eastAsia="sk-SK"/>
              </w:rPr>
            </w:pPr>
            <w:r w:rsidRPr="003873EB">
              <w:rPr>
                <w:rFonts w:ascii="Century Gothic" w:eastAsia="Times New Roman" w:hAnsi="Century Gothic" w:cs="Calibri"/>
                <w:b/>
                <w:sz w:val="20"/>
                <w:szCs w:val="20"/>
                <w:lang w:eastAsia="sk-SK"/>
              </w:rPr>
              <w:t>denná forma, externá forma</w:t>
            </w:r>
          </w:p>
        </w:tc>
        <w:tc>
          <w:tcPr>
            <w:tcW w:w="7366" w:type="dxa"/>
            <w:shd w:val="clear" w:color="auto" w:fill="EAEAEA"/>
            <w:noWrap/>
            <w:hideMark/>
          </w:tcPr>
          <w:p w14:paraId="259F9A4C" w14:textId="77777777" w:rsidR="00E445E8" w:rsidRPr="003873EB" w:rsidRDefault="00E445E8" w:rsidP="00751FE0">
            <w:pPr>
              <w:spacing w:after="0" w:line="240" w:lineRule="auto"/>
              <w:rPr>
                <w:rFonts w:ascii="Century Gothic" w:eastAsia="Times New Roman" w:hAnsi="Century Gothic" w:cs="Calibri"/>
                <w:b/>
                <w:sz w:val="20"/>
                <w:szCs w:val="20"/>
                <w:lang w:eastAsia="sk-SK"/>
              </w:rPr>
            </w:pPr>
            <w:r w:rsidRPr="003873EB">
              <w:rPr>
                <w:rFonts w:ascii="Century Gothic" w:eastAsia="Times New Roman" w:hAnsi="Century Gothic" w:cs="Calibri"/>
                <w:b/>
                <w:sz w:val="20"/>
                <w:szCs w:val="20"/>
                <w:lang w:eastAsia="sk-SK"/>
              </w:rPr>
              <w:t>Katedra poisťovníctva</w:t>
            </w:r>
          </w:p>
        </w:tc>
      </w:tr>
      <w:tr w:rsidR="00E445E8" w:rsidRPr="003873EB" w14:paraId="2C5DC4CB" w14:textId="77777777" w:rsidTr="00751FE0">
        <w:trPr>
          <w:trHeight w:val="570"/>
        </w:trPr>
        <w:tc>
          <w:tcPr>
            <w:tcW w:w="3400" w:type="dxa"/>
            <w:noWrap/>
          </w:tcPr>
          <w:p w14:paraId="4BE31B2A" w14:textId="77777777" w:rsidR="00E445E8" w:rsidRPr="003873EB" w:rsidRDefault="00E445E8" w:rsidP="00751FE0">
            <w:pPr>
              <w:spacing w:after="0" w:line="240" w:lineRule="auto"/>
              <w:rPr>
                <w:rFonts w:ascii="Century Gothic" w:eastAsia="Times New Roman" w:hAnsi="Century Gothic" w:cs="Calibri"/>
                <w:b/>
                <w:sz w:val="20"/>
                <w:szCs w:val="20"/>
                <w:lang w:eastAsia="sk-SK"/>
              </w:rPr>
            </w:pPr>
            <w:r w:rsidRPr="003873EB">
              <w:rPr>
                <w:rFonts w:ascii="Century Gothic" w:eastAsia="Times New Roman" w:hAnsi="Century Gothic" w:cs="Calibri"/>
                <w:sz w:val="20"/>
                <w:szCs w:val="20"/>
                <w:lang w:eastAsia="sk-SK"/>
              </w:rPr>
              <w:t>anotácia</w:t>
            </w:r>
          </w:p>
        </w:tc>
        <w:tc>
          <w:tcPr>
            <w:tcW w:w="18693" w:type="dxa"/>
            <w:gridSpan w:val="3"/>
          </w:tcPr>
          <w:p w14:paraId="6295EACE" w14:textId="77777777" w:rsidR="00E445E8" w:rsidRPr="003873EB" w:rsidRDefault="00E445E8" w:rsidP="00751FE0">
            <w:pPr>
              <w:spacing w:after="0" w:line="240" w:lineRule="auto"/>
              <w:jc w:val="both"/>
              <w:rPr>
                <w:rFonts w:ascii="Century Gothic" w:eastAsia="Times New Roman" w:hAnsi="Century Gothic" w:cs="Calibri"/>
                <w:sz w:val="20"/>
                <w:szCs w:val="20"/>
                <w:lang w:eastAsia="sk-SK"/>
              </w:rPr>
            </w:pPr>
            <w:r w:rsidRPr="00E00B72">
              <w:rPr>
                <w:rFonts w:ascii="Century Gothic" w:eastAsia="Times New Roman" w:hAnsi="Century Gothic" w:cs="Calibri"/>
                <w:sz w:val="20"/>
                <w:szCs w:val="20"/>
                <w:lang w:eastAsia="sk-SK"/>
              </w:rPr>
              <w:t>Finančná inklúzia predstavuje proces zabezpečenia prístupu k dostupným a vhodným finančným službám pre všetky skupiny obyvateľstva, vrátane marginalizovaných a nízkopríjmových skupín. Tento koncept sa historicky zameriaval najmä na bankové produkty, platobné systémy a úvery, no v posledných rokoch narastá záujem o jeho vzťah k poisteniu ako k nástroju sociálnej ochrany a finančnej stability. Poistné produkty, najmä mikro-poistenie alebo životné poistenie, môžu významne prispieť k zmierňovaniu finančných šokov a zvýšeniu odolnosti domácností, no ich penetrácia a súčasné využívanie ostáva nízke v mnohých regiónoch sveta, čo odráža pretrvávajúce bariéry v oblasti informovanosti, finančnej gramotnosti a cenovej dostupnosti, prípadne aj v dôsledku nedostatočného digitálneho prístupu. Túto medzeru reflektujú aj medzinárodné stratégie finančnej inklúzie, kde sa poistenie iba postupne integruje ako kľúčová súčasť národných finančných inkluzívnych stratégií (NFIS) a politík.</w:t>
            </w:r>
          </w:p>
        </w:tc>
      </w:tr>
    </w:tbl>
    <w:p w14:paraId="29E73985" w14:textId="77777777" w:rsidR="00E445E8" w:rsidRDefault="00E445E8" w:rsidP="00207158">
      <w:pPr>
        <w:spacing w:before="240"/>
        <w:rPr>
          <w:rFonts w:ascii="Century Gothic" w:hAnsi="Century Gothic"/>
          <w:sz w:val="20"/>
          <w:szCs w:val="20"/>
        </w:rPr>
      </w:pPr>
    </w:p>
    <w:tbl>
      <w:tblPr>
        <w:tblW w:w="2209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0"/>
        <w:gridCol w:w="8320"/>
        <w:gridCol w:w="3007"/>
        <w:gridCol w:w="7366"/>
      </w:tblGrid>
      <w:tr w:rsidR="00F04052" w:rsidRPr="003873EB" w14:paraId="0E85017A" w14:textId="77777777" w:rsidTr="00493A87">
        <w:trPr>
          <w:trHeight w:val="300"/>
        </w:trPr>
        <w:tc>
          <w:tcPr>
            <w:tcW w:w="3400" w:type="dxa"/>
            <w:shd w:val="clear" w:color="auto" w:fill="EAEAEA"/>
            <w:noWrap/>
            <w:hideMark/>
          </w:tcPr>
          <w:p w14:paraId="5F5CFFB7" w14:textId="77777777" w:rsidR="00616138" w:rsidRDefault="00616138" w:rsidP="00616138">
            <w:pPr>
              <w:spacing w:after="0" w:line="240" w:lineRule="auto"/>
              <w:rPr>
                <w:rFonts w:ascii="Century Gothic" w:eastAsia="Times New Roman" w:hAnsi="Century Gothic" w:cs="Calibri"/>
                <w:b/>
                <w:sz w:val="20"/>
                <w:szCs w:val="20"/>
                <w:lang w:eastAsia="sk-SK"/>
              </w:rPr>
            </w:pPr>
            <w:r>
              <w:rPr>
                <w:rFonts w:ascii="Century Gothic" w:eastAsia="Times New Roman" w:hAnsi="Century Gothic" w:cs="Calibri"/>
                <w:b/>
                <w:sz w:val="20"/>
                <w:szCs w:val="20"/>
                <w:lang w:eastAsia="sk-SK"/>
              </w:rPr>
              <w:t>školiteľka:</w:t>
            </w:r>
          </w:p>
          <w:p w14:paraId="55A39667" w14:textId="77777777" w:rsidR="00F04052" w:rsidRPr="003873EB" w:rsidRDefault="00F04052" w:rsidP="00323142">
            <w:pPr>
              <w:spacing w:after="0" w:line="240" w:lineRule="auto"/>
              <w:rPr>
                <w:rFonts w:ascii="Century Gothic" w:eastAsia="Times New Roman" w:hAnsi="Century Gothic" w:cs="Calibri"/>
                <w:b/>
                <w:sz w:val="20"/>
                <w:szCs w:val="20"/>
                <w:lang w:eastAsia="sk-SK"/>
              </w:rPr>
            </w:pPr>
            <w:r w:rsidRPr="003873EB">
              <w:rPr>
                <w:rFonts w:ascii="Century Gothic" w:eastAsia="Times New Roman" w:hAnsi="Century Gothic" w:cs="Calibri"/>
                <w:b/>
                <w:sz w:val="20"/>
                <w:szCs w:val="20"/>
                <w:lang w:eastAsia="sk-SK"/>
              </w:rPr>
              <w:t>prof. Ing. Erika Pastoráková, PhD.</w:t>
            </w:r>
          </w:p>
        </w:tc>
        <w:tc>
          <w:tcPr>
            <w:tcW w:w="8320" w:type="dxa"/>
            <w:shd w:val="clear" w:color="auto" w:fill="EAEAEA"/>
          </w:tcPr>
          <w:p w14:paraId="50A53764" w14:textId="77777777" w:rsidR="00616138" w:rsidRDefault="00616138" w:rsidP="00616138">
            <w:pPr>
              <w:spacing w:after="0" w:line="240" w:lineRule="auto"/>
              <w:rPr>
                <w:rFonts w:ascii="Century Gothic" w:eastAsia="Times New Roman" w:hAnsi="Century Gothic" w:cs="Calibri"/>
                <w:b/>
                <w:sz w:val="20"/>
                <w:szCs w:val="20"/>
                <w:lang w:eastAsia="sk-SK"/>
              </w:rPr>
            </w:pPr>
            <w:r>
              <w:rPr>
                <w:rFonts w:ascii="Century Gothic" w:eastAsia="Times New Roman" w:hAnsi="Century Gothic" w:cs="Calibri"/>
                <w:b/>
                <w:sz w:val="20"/>
                <w:szCs w:val="20"/>
                <w:lang w:eastAsia="sk-SK"/>
              </w:rPr>
              <w:t>Téma dizertačnej práce:</w:t>
            </w:r>
          </w:p>
          <w:p w14:paraId="7FCDCDD9" w14:textId="7A2A4FDE" w:rsidR="00F04052" w:rsidRPr="003873EB" w:rsidRDefault="00E00B72" w:rsidP="00323142">
            <w:pPr>
              <w:spacing w:after="0" w:line="240" w:lineRule="auto"/>
              <w:rPr>
                <w:rFonts w:ascii="Century Gothic" w:eastAsia="Times New Roman" w:hAnsi="Century Gothic" w:cs="Calibri"/>
                <w:b/>
                <w:sz w:val="20"/>
                <w:szCs w:val="20"/>
                <w:lang w:eastAsia="sk-SK"/>
              </w:rPr>
            </w:pPr>
            <w:r w:rsidRPr="00E00B72">
              <w:rPr>
                <w:rFonts w:ascii="Century Gothic" w:eastAsia="Times New Roman" w:hAnsi="Century Gothic" w:cs="Calibri"/>
                <w:b/>
                <w:sz w:val="20"/>
                <w:szCs w:val="20"/>
                <w:lang w:eastAsia="sk-SK"/>
              </w:rPr>
              <w:t>Medzery v poistnej ochrane – prínos verejno-súkromných partnerstiev v oblasti zdieľania a prenosu rizík</w:t>
            </w:r>
          </w:p>
        </w:tc>
        <w:tc>
          <w:tcPr>
            <w:tcW w:w="3007" w:type="dxa"/>
            <w:shd w:val="clear" w:color="auto" w:fill="EAEAEA"/>
            <w:noWrap/>
            <w:hideMark/>
          </w:tcPr>
          <w:p w14:paraId="155EF545" w14:textId="77777777" w:rsidR="00F04052" w:rsidRPr="003873EB" w:rsidRDefault="00F04052" w:rsidP="00323142">
            <w:pPr>
              <w:spacing w:after="0" w:line="240" w:lineRule="auto"/>
              <w:rPr>
                <w:rFonts w:ascii="Century Gothic" w:eastAsia="Times New Roman" w:hAnsi="Century Gothic" w:cs="Calibri"/>
                <w:b/>
                <w:sz w:val="20"/>
                <w:szCs w:val="20"/>
                <w:lang w:eastAsia="sk-SK"/>
              </w:rPr>
            </w:pPr>
            <w:r w:rsidRPr="003873EB">
              <w:rPr>
                <w:rFonts w:ascii="Century Gothic" w:eastAsia="Times New Roman" w:hAnsi="Century Gothic" w:cs="Calibri"/>
                <w:b/>
                <w:sz w:val="20"/>
                <w:szCs w:val="20"/>
                <w:lang w:eastAsia="sk-SK"/>
              </w:rPr>
              <w:t>denná forma, externá forma</w:t>
            </w:r>
          </w:p>
        </w:tc>
        <w:tc>
          <w:tcPr>
            <w:tcW w:w="7366" w:type="dxa"/>
            <w:shd w:val="clear" w:color="auto" w:fill="EAEAEA"/>
            <w:noWrap/>
            <w:hideMark/>
          </w:tcPr>
          <w:p w14:paraId="76F42038" w14:textId="77777777" w:rsidR="00F04052" w:rsidRPr="003873EB" w:rsidRDefault="00F04052" w:rsidP="00323142">
            <w:pPr>
              <w:spacing w:after="0" w:line="240" w:lineRule="auto"/>
              <w:rPr>
                <w:rFonts w:ascii="Century Gothic" w:eastAsia="Times New Roman" w:hAnsi="Century Gothic" w:cs="Calibri"/>
                <w:b/>
                <w:sz w:val="20"/>
                <w:szCs w:val="20"/>
                <w:lang w:eastAsia="sk-SK"/>
              </w:rPr>
            </w:pPr>
            <w:r w:rsidRPr="003873EB">
              <w:rPr>
                <w:rFonts w:ascii="Century Gothic" w:eastAsia="Times New Roman" w:hAnsi="Century Gothic" w:cs="Calibri"/>
                <w:b/>
                <w:sz w:val="20"/>
                <w:szCs w:val="20"/>
                <w:lang w:eastAsia="sk-SK"/>
              </w:rPr>
              <w:t>Katedra poisťovníctva</w:t>
            </w:r>
          </w:p>
        </w:tc>
      </w:tr>
      <w:tr w:rsidR="00F04052" w:rsidRPr="003873EB" w14:paraId="2F0BADCE" w14:textId="77777777" w:rsidTr="00323142">
        <w:trPr>
          <w:trHeight w:val="300"/>
        </w:trPr>
        <w:tc>
          <w:tcPr>
            <w:tcW w:w="3400" w:type="dxa"/>
            <w:noWrap/>
          </w:tcPr>
          <w:p w14:paraId="3C756403" w14:textId="77777777" w:rsidR="00F04052" w:rsidRPr="00493A87" w:rsidRDefault="00F04052" w:rsidP="00323142">
            <w:pPr>
              <w:spacing w:after="0" w:line="240" w:lineRule="auto"/>
              <w:rPr>
                <w:rFonts w:ascii="Century Gothic" w:eastAsia="Times New Roman" w:hAnsi="Century Gothic" w:cs="Calibri"/>
                <w:sz w:val="20"/>
                <w:szCs w:val="20"/>
                <w:lang w:eastAsia="sk-SK"/>
              </w:rPr>
            </w:pPr>
            <w:r w:rsidRPr="00493A87">
              <w:rPr>
                <w:rFonts w:ascii="Century Gothic" w:eastAsia="Times New Roman" w:hAnsi="Century Gothic" w:cs="Calibri"/>
                <w:sz w:val="20"/>
                <w:szCs w:val="20"/>
                <w:lang w:eastAsia="sk-SK"/>
              </w:rPr>
              <w:t>anotácia</w:t>
            </w:r>
          </w:p>
          <w:p w14:paraId="1F9665FC" w14:textId="49903606" w:rsidR="00493A87" w:rsidRPr="003873EB" w:rsidRDefault="00493A87" w:rsidP="00323142">
            <w:pPr>
              <w:spacing w:after="0" w:line="240" w:lineRule="auto"/>
              <w:rPr>
                <w:rFonts w:ascii="Century Gothic" w:eastAsia="Times New Roman" w:hAnsi="Century Gothic" w:cs="Calibri"/>
                <w:b/>
                <w:sz w:val="20"/>
                <w:szCs w:val="20"/>
                <w:lang w:eastAsia="sk-SK"/>
              </w:rPr>
            </w:pPr>
          </w:p>
        </w:tc>
        <w:tc>
          <w:tcPr>
            <w:tcW w:w="18693" w:type="dxa"/>
            <w:gridSpan w:val="3"/>
          </w:tcPr>
          <w:p w14:paraId="67D34505" w14:textId="1A3D19E3" w:rsidR="00F04052" w:rsidRPr="003873EB" w:rsidRDefault="00E00B72" w:rsidP="00323142">
            <w:pPr>
              <w:spacing w:after="0" w:line="240" w:lineRule="auto"/>
              <w:jc w:val="both"/>
              <w:rPr>
                <w:rFonts w:ascii="Century Gothic" w:eastAsia="Times New Roman" w:hAnsi="Century Gothic" w:cs="Calibri"/>
                <w:sz w:val="20"/>
                <w:szCs w:val="20"/>
                <w:lang w:eastAsia="sk-SK"/>
              </w:rPr>
            </w:pPr>
            <w:r w:rsidRPr="00E00B72">
              <w:rPr>
                <w:rFonts w:ascii="Century Gothic" w:eastAsia="Times New Roman" w:hAnsi="Century Gothic" w:cs="Calibri"/>
                <w:sz w:val="20"/>
                <w:szCs w:val="20"/>
                <w:lang w:eastAsia="sk-SK"/>
              </w:rPr>
              <w:t>Rastúca frekvencia a intenzita prírodných katastrof vedie k zvyšovaniu ekonomických strát, pričom významná časť z nich zostáva nepoistená. Vzniká tak medzera v poistnej ochrane (Insurance Protection Gap), ktorá zvyšuje finančnú zraniteľnosť domácností a podnikov, zvyšuje tlak na verejné rozpočty a môže ohrozovať makroekonomickú a finančnú stabilitu. Príčiny tejto medzery vyplývajú z faktorov na strane ponuky aj dopytu, ako sú rastúce poistné, kapitálové a likviditné obmedzenia poisťovní, nedostatočná diverzifikácia rizík, nízka cenová dostupnosť poistenia, informačné asymetrie, slabá finančná gramotnosť a očakávanie štátnej pomoci po katastrofách.</w:t>
            </w:r>
          </w:p>
        </w:tc>
      </w:tr>
    </w:tbl>
    <w:p w14:paraId="6E177B45" w14:textId="3B3280CE" w:rsidR="00F04052" w:rsidRDefault="00F04052" w:rsidP="00F04052">
      <w:pPr>
        <w:rPr>
          <w:rFonts w:ascii="Century Gothic" w:hAnsi="Century Gothic"/>
          <w:sz w:val="20"/>
          <w:szCs w:val="20"/>
        </w:rPr>
      </w:pPr>
    </w:p>
    <w:p w14:paraId="1B8425DF" w14:textId="37AD96FB" w:rsidR="00207158" w:rsidRDefault="00207158" w:rsidP="00F04052">
      <w:pPr>
        <w:rPr>
          <w:rFonts w:ascii="Century Gothic" w:hAnsi="Century Gothic"/>
          <w:sz w:val="20"/>
          <w:szCs w:val="20"/>
        </w:rPr>
      </w:pPr>
    </w:p>
    <w:p w14:paraId="1985F327" w14:textId="77777777" w:rsidR="00207158" w:rsidRPr="003873EB" w:rsidRDefault="00207158" w:rsidP="00F04052">
      <w:pPr>
        <w:rPr>
          <w:rFonts w:ascii="Century Gothic" w:hAnsi="Century Gothic"/>
          <w:sz w:val="20"/>
          <w:szCs w:val="20"/>
        </w:rPr>
      </w:pPr>
    </w:p>
    <w:tbl>
      <w:tblPr>
        <w:tblW w:w="2209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0"/>
        <w:gridCol w:w="8320"/>
        <w:gridCol w:w="3007"/>
        <w:gridCol w:w="7366"/>
      </w:tblGrid>
      <w:tr w:rsidR="00F04052" w:rsidRPr="003873EB" w14:paraId="7CA0C914" w14:textId="77777777" w:rsidTr="00493A87">
        <w:trPr>
          <w:trHeight w:val="570"/>
        </w:trPr>
        <w:tc>
          <w:tcPr>
            <w:tcW w:w="3400" w:type="dxa"/>
            <w:shd w:val="clear" w:color="auto" w:fill="EAEAEA"/>
            <w:noWrap/>
            <w:hideMark/>
          </w:tcPr>
          <w:p w14:paraId="0DCB00A0" w14:textId="77777777" w:rsidR="00616138" w:rsidRDefault="00616138" w:rsidP="00616138">
            <w:pPr>
              <w:spacing w:after="0" w:line="240" w:lineRule="auto"/>
              <w:rPr>
                <w:rFonts w:ascii="Century Gothic" w:eastAsia="Times New Roman" w:hAnsi="Century Gothic" w:cs="Calibri"/>
                <w:b/>
                <w:sz w:val="20"/>
                <w:szCs w:val="20"/>
                <w:lang w:eastAsia="sk-SK"/>
              </w:rPr>
            </w:pPr>
            <w:r>
              <w:rPr>
                <w:rFonts w:ascii="Century Gothic" w:eastAsia="Times New Roman" w:hAnsi="Century Gothic" w:cs="Calibri"/>
                <w:b/>
                <w:sz w:val="20"/>
                <w:szCs w:val="20"/>
                <w:lang w:eastAsia="sk-SK"/>
              </w:rPr>
              <w:t>školiteľka:</w:t>
            </w:r>
          </w:p>
          <w:p w14:paraId="15E0F231" w14:textId="77777777" w:rsidR="00F04052" w:rsidRPr="003873EB" w:rsidRDefault="00F04052" w:rsidP="00323142">
            <w:pPr>
              <w:spacing w:after="0" w:line="240" w:lineRule="auto"/>
              <w:rPr>
                <w:rFonts w:ascii="Century Gothic" w:eastAsia="Times New Roman" w:hAnsi="Century Gothic" w:cs="Calibri"/>
                <w:b/>
                <w:sz w:val="20"/>
                <w:szCs w:val="20"/>
                <w:lang w:eastAsia="sk-SK"/>
              </w:rPr>
            </w:pPr>
            <w:r w:rsidRPr="003873EB">
              <w:rPr>
                <w:rFonts w:ascii="Century Gothic" w:eastAsia="Times New Roman" w:hAnsi="Century Gothic" w:cs="Calibri"/>
                <w:b/>
                <w:sz w:val="20"/>
                <w:szCs w:val="20"/>
                <w:lang w:eastAsia="sk-SK"/>
              </w:rPr>
              <w:t>prof. Ing. Erika Pastoráková, PhD.</w:t>
            </w:r>
          </w:p>
        </w:tc>
        <w:tc>
          <w:tcPr>
            <w:tcW w:w="8320" w:type="dxa"/>
            <w:shd w:val="clear" w:color="auto" w:fill="EAEAEA"/>
          </w:tcPr>
          <w:p w14:paraId="6D4AD390" w14:textId="77777777" w:rsidR="00616138" w:rsidRDefault="00616138" w:rsidP="00616138">
            <w:pPr>
              <w:spacing w:after="0" w:line="240" w:lineRule="auto"/>
              <w:rPr>
                <w:rFonts w:ascii="Century Gothic" w:eastAsia="Times New Roman" w:hAnsi="Century Gothic" w:cs="Calibri"/>
                <w:b/>
                <w:sz w:val="20"/>
                <w:szCs w:val="20"/>
                <w:lang w:eastAsia="sk-SK"/>
              </w:rPr>
            </w:pPr>
            <w:r>
              <w:rPr>
                <w:rFonts w:ascii="Century Gothic" w:eastAsia="Times New Roman" w:hAnsi="Century Gothic" w:cs="Calibri"/>
                <w:b/>
                <w:sz w:val="20"/>
                <w:szCs w:val="20"/>
                <w:lang w:eastAsia="sk-SK"/>
              </w:rPr>
              <w:t>Téma dizertačnej práce:</w:t>
            </w:r>
          </w:p>
          <w:p w14:paraId="71B7F978" w14:textId="6F927F97" w:rsidR="00F04052" w:rsidRPr="003873EB" w:rsidRDefault="00E00B72" w:rsidP="00323142">
            <w:pPr>
              <w:spacing w:after="0" w:line="240" w:lineRule="auto"/>
              <w:rPr>
                <w:rFonts w:ascii="Century Gothic" w:eastAsia="Times New Roman" w:hAnsi="Century Gothic" w:cs="Calibri"/>
                <w:b/>
                <w:sz w:val="20"/>
                <w:szCs w:val="20"/>
                <w:lang w:eastAsia="sk-SK"/>
              </w:rPr>
            </w:pPr>
            <w:r w:rsidRPr="00E00B72">
              <w:rPr>
                <w:rFonts w:ascii="Century Gothic" w:eastAsia="Times New Roman" w:hAnsi="Century Gothic" w:cs="Calibri"/>
                <w:b/>
                <w:sz w:val="20"/>
                <w:szCs w:val="20"/>
                <w:lang w:eastAsia="sk-SK"/>
              </w:rPr>
              <w:t>Dopady európskej a slovenskej regulácie na poistný trh</w:t>
            </w:r>
          </w:p>
        </w:tc>
        <w:tc>
          <w:tcPr>
            <w:tcW w:w="3007" w:type="dxa"/>
            <w:shd w:val="clear" w:color="auto" w:fill="EAEAEA"/>
            <w:noWrap/>
            <w:hideMark/>
          </w:tcPr>
          <w:p w14:paraId="39EA6F39" w14:textId="77777777" w:rsidR="00F04052" w:rsidRPr="003873EB" w:rsidRDefault="00F04052" w:rsidP="00323142">
            <w:pPr>
              <w:spacing w:after="0" w:line="240" w:lineRule="auto"/>
              <w:rPr>
                <w:rFonts w:ascii="Century Gothic" w:eastAsia="Times New Roman" w:hAnsi="Century Gothic" w:cs="Calibri"/>
                <w:b/>
                <w:sz w:val="20"/>
                <w:szCs w:val="20"/>
                <w:lang w:eastAsia="sk-SK"/>
              </w:rPr>
            </w:pPr>
            <w:r w:rsidRPr="003873EB">
              <w:rPr>
                <w:rFonts w:ascii="Century Gothic" w:eastAsia="Times New Roman" w:hAnsi="Century Gothic" w:cs="Calibri"/>
                <w:b/>
                <w:sz w:val="20"/>
                <w:szCs w:val="20"/>
                <w:lang w:eastAsia="sk-SK"/>
              </w:rPr>
              <w:t>denná forma, externá forma</w:t>
            </w:r>
          </w:p>
        </w:tc>
        <w:tc>
          <w:tcPr>
            <w:tcW w:w="7366" w:type="dxa"/>
            <w:shd w:val="clear" w:color="auto" w:fill="EAEAEA"/>
            <w:noWrap/>
            <w:hideMark/>
          </w:tcPr>
          <w:p w14:paraId="71B9B6A5" w14:textId="77777777" w:rsidR="00F04052" w:rsidRPr="003873EB" w:rsidRDefault="00F04052" w:rsidP="00323142">
            <w:pPr>
              <w:spacing w:after="0" w:line="240" w:lineRule="auto"/>
              <w:rPr>
                <w:rFonts w:ascii="Century Gothic" w:eastAsia="Times New Roman" w:hAnsi="Century Gothic" w:cs="Calibri"/>
                <w:b/>
                <w:sz w:val="20"/>
                <w:szCs w:val="20"/>
                <w:lang w:eastAsia="sk-SK"/>
              </w:rPr>
            </w:pPr>
            <w:r w:rsidRPr="003873EB">
              <w:rPr>
                <w:rFonts w:ascii="Century Gothic" w:eastAsia="Times New Roman" w:hAnsi="Century Gothic" w:cs="Calibri"/>
                <w:b/>
                <w:sz w:val="20"/>
                <w:szCs w:val="20"/>
                <w:lang w:eastAsia="sk-SK"/>
              </w:rPr>
              <w:t>Katedra poisťovníctva</w:t>
            </w:r>
          </w:p>
        </w:tc>
      </w:tr>
      <w:tr w:rsidR="00F04052" w:rsidRPr="003873EB" w14:paraId="16521739" w14:textId="77777777" w:rsidTr="00323142">
        <w:trPr>
          <w:trHeight w:val="570"/>
        </w:trPr>
        <w:tc>
          <w:tcPr>
            <w:tcW w:w="3400" w:type="dxa"/>
            <w:noWrap/>
          </w:tcPr>
          <w:p w14:paraId="3F4F0F42" w14:textId="77777777" w:rsidR="00F04052" w:rsidRPr="003873EB" w:rsidRDefault="00F04052" w:rsidP="00323142">
            <w:pPr>
              <w:spacing w:after="0" w:line="240" w:lineRule="auto"/>
              <w:rPr>
                <w:rFonts w:ascii="Century Gothic" w:eastAsia="Times New Roman" w:hAnsi="Century Gothic" w:cs="Calibri"/>
                <w:b/>
                <w:sz w:val="20"/>
                <w:szCs w:val="20"/>
                <w:lang w:eastAsia="sk-SK"/>
              </w:rPr>
            </w:pPr>
            <w:r w:rsidRPr="003873EB">
              <w:rPr>
                <w:rFonts w:ascii="Century Gothic" w:eastAsia="Times New Roman" w:hAnsi="Century Gothic" w:cs="Calibri"/>
                <w:sz w:val="20"/>
                <w:szCs w:val="20"/>
                <w:lang w:eastAsia="sk-SK"/>
              </w:rPr>
              <w:t>anotácia</w:t>
            </w:r>
          </w:p>
        </w:tc>
        <w:tc>
          <w:tcPr>
            <w:tcW w:w="18693" w:type="dxa"/>
            <w:gridSpan w:val="3"/>
          </w:tcPr>
          <w:p w14:paraId="57092EB7" w14:textId="03E4B04F" w:rsidR="00F04052" w:rsidRPr="003873EB" w:rsidRDefault="00E00B72" w:rsidP="00323142">
            <w:pPr>
              <w:spacing w:after="0" w:line="240" w:lineRule="auto"/>
              <w:jc w:val="both"/>
              <w:rPr>
                <w:rFonts w:ascii="Century Gothic" w:eastAsia="Times New Roman" w:hAnsi="Century Gothic" w:cs="Calibri"/>
                <w:sz w:val="20"/>
                <w:szCs w:val="20"/>
                <w:lang w:eastAsia="sk-SK"/>
              </w:rPr>
            </w:pPr>
            <w:r w:rsidRPr="00E00B72">
              <w:rPr>
                <w:rFonts w:ascii="Century Gothic" w:eastAsia="Times New Roman" w:hAnsi="Century Gothic" w:cs="Calibri"/>
                <w:sz w:val="20"/>
                <w:szCs w:val="20"/>
                <w:lang w:eastAsia="sk-SK"/>
              </w:rPr>
              <w:t>Podnikanie v oblasti poisťovníctva je vo veľkej miere regulované, a to tak z dôvodu obmedzovania rizík spojených s podnikaním na poistnom trhu, obmedzovania možností zneužívania trhu a tiež v snahe zabezpečenia transparentného trhu (Zweifel, P. – Eisen, R., 2012). Vybrané regulačné opatrenia sú však natoľko zaťažujúce pre poisťovne samotné, že vyvstáva otázka, či v prílišnej miere neobmedzujú hospodársku súťaž a či poisťovniam nevznikajú prílišné náklady v dôsledku regulačných opatrení. Na druhej strane majú poisťovne a poskytovatelia poistenia dostupné veľké množstvo dát o svojich klientoch, čo potenciálne môže znamenať riziko úniku citlivých informácií a ich prípadného zneužitia. Doktorandská práca hodnotí doterajší vývoj regulácie na poistnom trhu a predikuje perspektívy ďalšieho vývoja, a to aj vzhľadom na prebiehajúce procesy digitalizácie a pribúdajúcich kybernetických a ďalších druhov rizík. Práca sa tiež venuje novým metódam v oblasti regulácie, napr. aj v podobe samoregulácie poisťovní, ktorá by mohla byť vo vybraných prípadoch efektívnejšia, a to tak z pohľadu regulátora, ako aj klienta a tiež aj samotnej poisťovne.</w:t>
            </w:r>
          </w:p>
        </w:tc>
      </w:tr>
    </w:tbl>
    <w:p w14:paraId="1566A2ED" w14:textId="3E3E41D9" w:rsidR="0046623B" w:rsidRDefault="0046623B" w:rsidP="0014202D">
      <w:pPr>
        <w:spacing w:before="240"/>
        <w:rPr>
          <w:rFonts w:ascii="Century Gothic" w:hAnsi="Century Gothic"/>
          <w:sz w:val="20"/>
          <w:szCs w:val="20"/>
        </w:rPr>
      </w:pPr>
    </w:p>
    <w:tbl>
      <w:tblPr>
        <w:tblW w:w="2209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0"/>
        <w:gridCol w:w="8320"/>
        <w:gridCol w:w="3007"/>
        <w:gridCol w:w="7366"/>
      </w:tblGrid>
      <w:tr w:rsidR="00BC7602" w:rsidRPr="003873EB" w14:paraId="34C0E838" w14:textId="77777777" w:rsidTr="00580B99">
        <w:trPr>
          <w:trHeight w:val="570"/>
        </w:trPr>
        <w:tc>
          <w:tcPr>
            <w:tcW w:w="3400" w:type="dxa"/>
            <w:shd w:val="clear" w:color="auto" w:fill="EAEAEA"/>
            <w:noWrap/>
            <w:hideMark/>
          </w:tcPr>
          <w:p w14:paraId="3FE3B83E" w14:textId="77777777" w:rsidR="00616138" w:rsidRDefault="00616138" w:rsidP="00616138">
            <w:pPr>
              <w:spacing w:after="0" w:line="240" w:lineRule="auto"/>
              <w:rPr>
                <w:rFonts w:ascii="Century Gothic" w:eastAsia="Times New Roman" w:hAnsi="Century Gothic" w:cs="Calibri"/>
                <w:b/>
                <w:sz w:val="20"/>
                <w:szCs w:val="20"/>
                <w:lang w:eastAsia="sk-SK"/>
              </w:rPr>
            </w:pPr>
            <w:r>
              <w:rPr>
                <w:rFonts w:ascii="Century Gothic" w:eastAsia="Times New Roman" w:hAnsi="Century Gothic" w:cs="Calibri"/>
                <w:b/>
                <w:sz w:val="20"/>
                <w:szCs w:val="20"/>
                <w:lang w:eastAsia="sk-SK"/>
              </w:rPr>
              <w:t>školiteľka:</w:t>
            </w:r>
          </w:p>
          <w:p w14:paraId="3DB6EE96" w14:textId="77777777" w:rsidR="00BC7602" w:rsidRPr="003873EB" w:rsidRDefault="00BC7602" w:rsidP="00580B99">
            <w:pPr>
              <w:spacing w:after="0" w:line="240" w:lineRule="auto"/>
              <w:rPr>
                <w:rFonts w:ascii="Century Gothic" w:eastAsia="Times New Roman" w:hAnsi="Century Gothic" w:cs="Calibri"/>
                <w:b/>
                <w:sz w:val="20"/>
                <w:szCs w:val="20"/>
                <w:lang w:eastAsia="sk-SK"/>
              </w:rPr>
            </w:pPr>
            <w:r w:rsidRPr="003873EB">
              <w:rPr>
                <w:rFonts w:ascii="Century Gothic" w:eastAsia="Times New Roman" w:hAnsi="Century Gothic" w:cs="Calibri"/>
                <w:b/>
                <w:sz w:val="20"/>
                <w:szCs w:val="20"/>
                <w:lang w:eastAsia="sk-SK"/>
              </w:rPr>
              <w:t>prof. Ing. Erika Pastoráková, PhD.</w:t>
            </w:r>
          </w:p>
        </w:tc>
        <w:tc>
          <w:tcPr>
            <w:tcW w:w="8320" w:type="dxa"/>
            <w:shd w:val="clear" w:color="auto" w:fill="EAEAEA"/>
          </w:tcPr>
          <w:p w14:paraId="6AA32C27" w14:textId="77777777" w:rsidR="00616138" w:rsidRDefault="00616138" w:rsidP="00616138">
            <w:pPr>
              <w:spacing w:after="0" w:line="240" w:lineRule="auto"/>
              <w:rPr>
                <w:rFonts w:ascii="Century Gothic" w:eastAsia="Times New Roman" w:hAnsi="Century Gothic" w:cs="Calibri"/>
                <w:b/>
                <w:sz w:val="20"/>
                <w:szCs w:val="20"/>
                <w:lang w:eastAsia="sk-SK"/>
              </w:rPr>
            </w:pPr>
            <w:r>
              <w:rPr>
                <w:rFonts w:ascii="Century Gothic" w:eastAsia="Times New Roman" w:hAnsi="Century Gothic" w:cs="Calibri"/>
                <w:b/>
                <w:sz w:val="20"/>
                <w:szCs w:val="20"/>
                <w:lang w:eastAsia="sk-SK"/>
              </w:rPr>
              <w:t>Téma dizertačnej práce:</w:t>
            </w:r>
          </w:p>
          <w:p w14:paraId="2DEBB8F3" w14:textId="637A5F99" w:rsidR="00BC7602" w:rsidRPr="003873EB" w:rsidRDefault="00726104" w:rsidP="00580B99">
            <w:pPr>
              <w:spacing w:after="0" w:line="240" w:lineRule="auto"/>
              <w:rPr>
                <w:rFonts w:ascii="Century Gothic" w:eastAsia="Times New Roman" w:hAnsi="Century Gothic" w:cs="Calibri"/>
                <w:b/>
                <w:sz w:val="20"/>
                <w:szCs w:val="20"/>
                <w:lang w:eastAsia="sk-SK"/>
              </w:rPr>
            </w:pPr>
            <w:r w:rsidRPr="00726104">
              <w:rPr>
                <w:rFonts w:ascii="Century Gothic" w:eastAsia="Times New Roman" w:hAnsi="Century Gothic" w:cs="Calibri"/>
                <w:b/>
                <w:sz w:val="20"/>
                <w:szCs w:val="20"/>
                <w:lang w:eastAsia="sk-SK"/>
              </w:rPr>
              <w:t>Prenos rizika prostredníctvom vzájomnostného poistenia a možnosti jeho využitia v podmienkach SR</w:t>
            </w:r>
          </w:p>
        </w:tc>
        <w:tc>
          <w:tcPr>
            <w:tcW w:w="3007" w:type="dxa"/>
            <w:shd w:val="clear" w:color="auto" w:fill="EAEAEA"/>
            <w:noWrap/>
            <w:hideMark/>
          </w:tcPr>
          <w:p w14:paraId="47230E8E" w14:textId="77777777" w:rsidR="00BC7602" w:rsidRPr="003873EB" w:rsidRDefault="00BC7602" w:rsidP="00580B99">
            <w:pPr>
              <w:spacing w:after="0" w:line="240" w:lineRule="auto"/>
              <w:rPr>
                <w:rFonts w:ascii="Century Gothic" w:eastAsia="Times New Roman" w:hAnsi="Century Gothic" w:cs="Calibri"/>
                <w:b/>
                <w:sz w:val="20"/>
                <w:szCs w:val="20"/>
                <w:lang w:eastAsia="sk-SK"/>
              </w:rPr>
            </w:pPr>
            <w:r w:rsidRPr="003873EB">
              <w:rPr>
                <w:rFonts w:ascii="Century Gothic" w:eastAsia="Times New Roman" w:hAnsi="Century Gothic" w:cs="Calibri"/>
                <w:b/>
                <w:sz w:val="20"/>
                <w:szCs w:val="20"/>
                <w:lang w:eastAsia="sk-SK"/>
              </w:rPr>
              <w:t>denná forma, externá forma</w:t>
            </w:r>
          </w:p>
        </w:tc>
        <w:tc>
          <w:tcPr>
            <w:tcW w:w="7366" w:type="dxa"/>
            <w:shd w:val="clear" w:color="auto" w:fill="EAEAEA"/>
            <w:noWrap/>
            <w:hideMark/>
          </w:tcPr>
          <w:p w14:paraId="26F233FB" w14:textId="77777777" w:rsidR="00BC7602" w:rsidRPr="003873EB" w:rsidRDefault="00BC7602" w:rsidP="00580B99">
            <w:pPr>
              <w:spacing w:after="0" w:line="240" w:lineRule="auto"/>
              <w:rPr>
                <w:rFonts w:ascii="Century Gothic" w:eastAsia="Times New Roman" w:hAnsi="Century Gothic" w:cs="Calibri"/>
                <w:b/>
                <w:sz w:val="20"/>
                <w:szCs w:val="20"/>
                <w:lang w:eastAsia="sk-SK"/>
              </w:rPr>
            </w:pPr>
            <w:r w:rsidRPr="003873EB">
              <w:rPr>
                <w:rFonts w:ascii="Century Gothic" w:eastAsia="Times New Roman" w:hAnsi="Century Gothic" w:cs="Calibri"/>
                <w:b/>
                <w:sz w:val="20"/>
                <w:szCs w:val="20"/>
                <w:lang w:eastAsia="sk-SK"/>
              </w:rPr>
              <w:t>Katedra poisťovníctva</w:t>
            </w:r>
          </w:p>
        </w:tc>
      </w:tr>
      <w:tr w:rsidR="00BC7602" w:rsidRPr="003873EB" w14:paraId="0B99B6B7" w14:textId="77777777" w:rsidTr="00580B99">
        <w:trPr>
          <w:trHeight w:val="570"/>
        </w:trPr>
        <w:tc>
          <w:tcPr>
            <w:tcW w:w="3400" w:type="dxa"/>
            <w:noWrap/>
          </w:tcPr>
          <w:p w14:paraId="6799837C" w14:textId="77777777" w:rsidR="00BC7602" w:rsidRPr="003873EB" w:rsidRDefault="00BC7602" w:rsidP="00580B99">
            <w:pPr>
              <w:spacing w:after="0" w:line="240" w:lineRule="auto"/>
              <w:rPr>
                <w:rFonts w:ascii="Century Gothic" w:eastAsia="Times New Roman" w:hAnsi="Century Gothic" w:cs="Calibri"/>
                <w:b/>
                <w:sz w:val="20"/>
                <w:szCs w:val="20"/>
                <w:lang w:eastAsia="sk-SK"/>
              </w:rPr>
            </w:pPr>
            <w:r w:rsidRPr="003873EB">
              <w:rPr>
                <w:rFonts w:ascii="Century Gothic" w:eastAsia="Times New Roman" w:hAnsi="Century Gothic" w:cs="Calibri"/>
                <w:sz w:val="20"/>
                <w:szCs w:val="20"/>
                <w:lang w:eastAsia="sk-SK"/>
              </w:rPr>
              <w:t>anotácia</w:t>
            </w:r>
          </w:p>
        </w:tc>
        <w:tc>
          <w:tcPr>
            <w:tcW w:w="18693" w:type="dxa"/>
            <w:gridSpan w:val="3"/>
          </w:tcPr>
          <w:p w14:paraId="07560F68" w14:textId="0E11CCD5" w:rsidR="00BC7602" w:rsidRPr="003873EB" w:rsidRDefault="00726104" w:rsidP="00580B99">
            <w:pPr>
              <w:spacing w:after="0" w:line="240" w:lineRule="auto"/>
              <w:jc w:val="both"/>
              <w:rPr>
                <w:rFonts w:ascii="Century Gothic" w:eastAsia="Times New Roman" w:hAnsi="Century Gothic" w:cs="Calibri"/>
                <w:sz w:val="20"/>
                <w:szCs w:val="20"/>
                <w:lang w:eastAsia="sk-SK"/>
              </w:rPr>
            </w:pPr>
            <w:r w:rsidRPr="00726104">
              <w:rPr>
                <w:rFonts w:ascii="Century Gothic" w:eastAsia="Times New Roman" w:hAnsi="Century Gothic" w:cs="Calibri"/>
                <w:sz w:val="20"/>
                <w:szCs w:val="20"/>
                <w:lang w:eastAsia="sk-SK"/>
              </w:rPr>
              <w:t>Moderné poistenie v podobe ako ho poznáme dnes sa vyvinulo z princípov vzájomnostného poistenia, v ktorých neboli poistení a poisťovatelia odlíšiteľní. V súčasnosti zaznamenávame významný rozmach tejto formy poisťovania vo vybraných krajinách, k čomu dopomohla aj finančná kríza, počas ktorej hľadali spotrebitelia nové spôsoby krytia rizík. Podiel spoločností pracujúcich na princípe vzájomnosti na svetovom poistnom trhu sa zvýšil z približne 24 % v roku 2007 na viac ako 26 % v roku 2014 (Sigma, 2016) a postupne ďalej rastie. K ďalšiemu rozmachu by mohli prispieť prebiehajúce technologické zmeny, ktoré zásadne menia konkurenčné prostredie na poistných trhoch. Najmarkantnejší je rozvoj peer-to-peer (P2P) poisťovacích platforiem, ktoré umožňujú jednotlivcom zdieľať riziká medzi sebou. Jedná sa však spravidla o malé riziká zdieľané v malých skupinách, ich výhodou je však adresnejšie poistné krytie aj pre osoby s nízkymi príjmami. Nové technológie, napr. Blockchain, by však mohli zlepšiť škálovateľnosť rizík, čím by umožnili vzájomnostným poisťovniam pokrývať ďalšie segmenty na poistných trhoch. Aj intenzívnejšie využívanie sociálnych médií napomáha lepšiemu porozumeniu potrebám a preferenciám zákazníkov, čo je pre vzájomnostné spoločnosti charakteristické vo väčšej miere, ako pre moderné poisťovacie spoločnosti. Doktorandská práca sa preto zameriava a preskúmanie možností, ktoré princípy vzájomnostného poistenia ponúkajú pre modernú spoločnosť v kontexte prebiehajúcich technologických zmien.</w:t>
            </w:r>
          </w:p>
        </w:tc>
      </w:tr>
    </w:tbl>
    <w:p w14:paraId="75710496" w14:textId="0BC9D7C5" w:rsidR="00BC7602" w:rsidRDefault="00BC7602" w:rsidP="0014202D">
      <w:pPr>
        <w:spacing w:before="240"/>
        <w:rPr>
          <w:rFonts w:ascii="Century Gothic" w:hAnsi="Century Gothic"/>
          <w:sz w:val="20"/>
          <w:szCs w:val="20"/>
        </w:rPr>
      </w:pPr>
    </w:p>
    <w:p w14:paraId="3077E469" w14:textId="77777777" w:rsidR="00E00B72" w:rsidRDefault="00E00B72" w:rsidP="0014202D">
      <w:pPr>
        <w:spacing w:before="240"/>
        <w:rPr>
          <w:rFonts w:ascii="Century Gothic" w:hAnsi="Century Gothic"/>
          <w:sz w:val="20"/>
          <w:szCs w:val="20"/>
        </w:rPr>
      </w:pPr>
    </w:p>
    <w:p w14:paraId="2076411F" w14:textId="77777777" w:rsidR="00436356" w:rsidRPr="003873EB" w:rsidRDefault="00436356" w:rsidP="0014202D">
      <w:pPr>
        <w:spacing w:before="240"/>
        <w:rPr>
          <w:rFonts w:ascii="Century Gothic" w:hAnsi="Century Gothic"/>
          <w:sz w:val="20"/>
          <w:szCs w:val="20"/>
        </w:rPr>
      </w:pPr>
    </w:p>
    <w:p w14:paraId="00AADBAB" w14:textId="50E9F2C0" w:rsidR="00345FF7" w:rsidRDefault="00345FF7">
      <w:pPr>
        <w:rPr>
          <w:rFonts w:ascii="Century Gothic" w:hAnsi="Century Gothic"/>
          <w:sz w:val="20"/>
          <w:szCs w:val="20"/>
        </w:rPr>
      </w:pPr>
    </w:p>
    <w:p w14:paraId="3A128AF0" w14:textId="77777777" w:rsidR="003873EB" w:rsidRPr="003873EB" w:rsidRDefault="003873EB">
      <w:pPr>
        <w:rPr>
          <w:rFonts w:ascii="Century Gothic" w:hAnsi="Century Gothic"/>
          <w:sz w:val="20"/>
          <w:szCs w:val="20"/>
        </w:rPr>
      </w:pPr>
    </w:p>
    <w:p w14:paraId="57237B48" w14:textId="77777777" w:rsidR="00345FF7" w:rsidRPr="003873EB" w:rsidRDefault="00345FF7">
      <w:pPr>
        <w:rPr>
          <w:rFonts w:ascii="Century Gothic" w:hAnsi="Century Gothic"/>
          <w:sz w:val="20"/>
          <w:szCs w:val="20"/>
        </w:rPr>
      </w:pPr>
    </w:p>
    <w:p w14:paraId="1E9937FB" w14:textId="77777777" w:rsidR="00345FF7" w:rsidRPr="003873EB" w:rsidRDefault="00345FF7">
      <w:pPr>
        <w:rPr>
          <w:rFonts w:ascii="Century Gothic" w:hAnsi="Century Gothic"/>
          <w:sz w:val="20"/>
          <w:szCs w:val="20"/>
        </w:rPr>
      </w:pPr>
    </w:p>
    <w:sectPr w:rsidR="00345FF7" w:rsidRPr="003873EB" w:rsidSect="003873EB">
      <w:footerReference w:type="default" r:id="rId7"/>
      <w:pgSz w:w="23811" w:h="16838" w:orient="landscape" w:code="8"/>
      <w:pgMar w:top="993" w:right="720" w:bottom="851"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5DAE5" w14:textId="77777777" w:rsidR="00A40D0C" w:rsidRDefault="00A40D0C" w:rsidP="00CB0AF1">
      <w:pPr>
        <w:spacing w:after="0" w:line="240" w:lineRule="auto"/>
      </w:pPr>
      <w:r>
        <w:separator/>
      </w:r>
    </w:p>
  </w:endnote>
  <w:endnote w:type="continuationSeparator" w:id="0">
    <w:p w14:paraId="6C19D2C0" w14:textId="77777777" w:rsidR="00A40D0C" w:rsidRDefault="00A40D0C" w:rsidP="00CB0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431405"/>
      <w:docPartObj>
        <w:docPartGallery w:val="Page Numbers (Bottom of Page)"/>
        <w:docPartUnique/>
      </w:docPartObj>
    </w:sdtPr>
    <w:sdtContent>
      <w:p w14:paraId="0FBEA89F" w14:textId="1622F02D" w:rsidR="00CB0AF1" w:rsidRDefault="00207158">
        <w:pPr>
          <w:pStyle w:val="Pta"/>
          <w:jc w:val="right"/>
        </w:pPr>
        <w:r>
          <w:t>4</w:t>
        </w:r>
        <w:r w:rsidR="00CB0AF1">
          <w:t>/</w:t>
        </w:r>
        <w:r w:rsidR="00CB0AF1">
          <w:fldChar w:fldCharType="begin"/>
        </w:r>
        <w:r w:rsidR="00CB0AF1">
          <w:instrText>PAGE   \* MERGEFORMAT</w:instrText>
        </w:r>
        <w:r w:rsidR="00CB0AF1">
          <w:fldChar w:fldCharType="separate"/>
        </w:r>
        <w:r w:rsidR="00CB0AF1">
          <w:t>2</w:t>
        </w:r>
        <w:r w:rsidR="00CB0AF1">
          <w:fldChar w:fldCharType="end"/>
        </w:r>
      </w:p>
    </w:sdtContent>
  </w:sdt>
  <w:p w14:paraId="6CB99F01" w14:textId="77777777" w:rsidR="00CB0AF1" w:rsidRDefault="00CB0AF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71811" w14:textId="77777777" w:rsidR="00A40D0C" w:rsidRDefault="00A40D0C" w:rsidP="00CB0AF1">
      <w:pPr>
        <w:spacing w:after="0" w:line="240" w:lineRule="auto"/>
      </w:pPr>
      <w:r>
        <w:separator/>
      </w:r>
    </w:p>
  </w:footnote>
  <w:footnote w:type="continuationSeparator" w:id="0">
    <w:p w14:paraId="62E5087A" w14:textId="77777777" w:rsidR="00A40D0C" w:rsidRDefault="00A40D0C" w:rsidP="00CB0A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50682"/>
    <w:multiLevelType w:val="multilevel"/>
    <w:tmpl w:val="B35A39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693286"/>
    <w:multiLevelType w:val="multilevel"/>
    <w:tmpl w:val="E76E06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CB5674"/>
    <w:multiLevelType w:val="multilevel"/>
    <w:tmpl w:val="F27C0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1549028">
    <w:abstractNumId w:val="2"/>
  </w:num>
  <w:num w:numId="2" w16cid:durableId="1536843398">
    <w:abstractNumId w:val="1"/>
  </w:num>
  <w:num w:numId="3" w16cid:durableId="1822893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90D"/>
    <w:rsid w:val="0004155F"/>
    <w:rsid w:val="00121C29"/>
    <w:rsid w:val="0014202D"/>
    <w:rsid w:val="001F41E0"/>
    <w:rsid w:val="00207158"/>
    <w:rsid w:val="00307749"/>
    <w:rsid w:val="00331FEE"/>
    <w:rsid w:val="00345FF7"/>
    <w:rsid w:val="003873EB"/>
    <w:rsid w:val="003A39BA"/>
    <w:rsid w:val="003C4832"/>
    <w:rsid w:val="003D5D09"/>
    <w:rsid w:val="0043000E"/>
    <w:rsid w:val="00436356"/>
    <w:rsid w:val="00455777"/>
    <w:rsid w:val="0046623B"/>
    <w:rsid w:val="00493A87"/>
    <w:rsid w:val="005240B4"/>
    <w:rsid w:val="00584AC8"/>
    <w:rsid w:val="005B74A7"/>
    <w:rsid w:val="00616138"/>
    <w:rsid w:val="0062117C"/>
    <w:rsid w:val="00671F3C"/>
    <w:rsid w:val="006F20B5"/>
    <w:rsid w:val="00726104"/>
    <w:rsid w:val="00737669"/>
    <w:rsid w:val="007D6C5F"/>
    <w:rsid w:val="009204A6"/>
    <w:rsid w:val="0093190D"/>
    <w:rsid w:val="009A2733"/>
    <w:rsid w:val="009D180B"/>
    <w:rsid w:val="00A40D0C"/>
    <w:rsid w:val="00A80F55"/>
    <w:rsid w:val="00AB4FE7"/>
    <w:rsid w:val="00AF14C0"/>
    <w:rsid w:val="00BC7602"/>
    <w:rsid w:val="00BD4955"/>
    <w:rsid w:val="00BF6D1B"/>
    <w:rsid w:val="00CA3FEF"/>
    <w:rsid w:val="00CB0AF1"/>
    <w:rsid w:val="00D250C1"/>
    <w:rsid w:val="00D56419"/>
    <w:rsid w:val="00D85F58"/>
    <w:rsid w:val="00DC658C"/>
    <w:rsid w:val="00E00B72"/>
    <w:rsid w:val="00E05208"/>
    <w:rsid w:val="00E33CFD"/>
    <w:rsid w:val="00E445E8"/>
    <w:rsid w:val="00E769CB"/>
    <w:rsid w:val="00EC7DCB"/>
    <w:rsid w:val="00EE7B27"/>
    <w:rsid w:val="00F04052"/>
    <w:rsid w:val="00F17711"/>
    <w:rsid w:val="00FA599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E86EF"/>
  <w15:chartTrackingRefBased/>
  <w15:docId w15:val="{BCF5569A-739A-4CC9-BDB0-58941F4E8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90D"/>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B0AF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B0AF1"/>
  </w:style>
  <w:style w:type="paragraph" w:styleId="Pta">
    <w:name w:val="footer"/>
    <w:basedOn w:val="Normlny"/>
    <w:link w:val="PtaChar"/>
    <w:uiPriority w:val="99"/>
    <w:unhideWhenUsed/>
    <w:rsid w:val="00CB0AF1"/>
    <w:pPr>
      <w:tabs>
        <w:tab w:val="center" w:pos="4536"/>
        <w:tab w:val="right" w:pos="9072"/>
      </w:tabs>
      <w:spacing w:after="0" w:line="240" w:lineRule="auto"/>
    </w:pPr>
  </w:style>
  <w:style w:type="character" w:customStyle="1" w:styleId="PtaChar">
    <w:name w:val="Päta Char"/>
    <w:basedOn w:val="Predvolenpsmoodseku"/>
    <w:link w:val="Pta"/>
    <w:uiPriority w:val="99"/>
    <w:rsid w:val="00CB0AF1"/>
  </w:style>
  <w:style w:type="paragraph" w:styleId="Textbubliny">
    <w:name w:val="Balloon Text"/>
    <w:basedOn w:val="Normlny"/>
    <w:link w:val="TextbublinyChar"/>
    <w:uiPriority w:val="99"/>
    <w:semiHidden/>
    <w:unhideWhenUsed/>
    <w:rsid w:val="0014202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4202D"/>
    <w:rPr>
      <w:rFonts w:ascii="Segoe UI" w:hAnsi="Segoe UI" w:cs="Segoe UI"/>
      <w:sz w:val="18"/>
      <w:szCs w:val="18"/>
    </w:rPr>
  </w:style>
  <w:style w:type="character" w:styleId="Hypertextovprepojenie">
    <w:name w:val="Hyperlink"/>
    <w:basedOn w:val="Predvolenpsmoodseku"/>
    <w:uiPriority w:val="99"/>
    <w:unhideWhenUsed/>
    <w:rsid w:val="001F41E0"/>
    <w:rPr>
      <w:color w:val="0563C1" w:themeColor="hyperlink"/>
      <w:u w:val="single"/>
    </w:rPr>
  </w:style>
  <w:style w:type="character" w:styleId="Nevyrieenzmienka">
    <w:name w:val="Unresolved Mention"/>
    <w:basedOn w:val="Predvolenpsmoodseku"/>
    <w:uiPriority w:val="99"/>
    <w:semiHidden/>
    <w:unhideWhenUsed/>
    <w:rsid w:val="001F4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5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4</Pages>
  <Words>3331</Words>
  <Characters>18991</Characters>
  <Application>Microsoft Office Word</Application>
  <DocSecurity>0</DocSecurity>
  <Lines>158</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Ondrejickova | NHF EU v Bratislave</dc:creator>
  <cp:keywords/>
  <dc:description/>
  <cp:lastModifiedBy>KLEMENTOVÁ, Martina</cp:lastModifiedBy>
  <cp:revision>26</cp:revision>
  <cp:lastPrinted>2025-04-04T07:28:00Z</cp:lastPrinted>
  <dcterms:created xsi:type="dcterms:W3CDTF">2025-03-19T12:16:00Z</dcterms:created>
  <dcterms:modified xsi:type="dcterms:W3CDTF">2026-06-08T10:14:00Z</dcterms:modified>
</cp:coreProperties>
</file>