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F1D" w:rsidRPr="00175A1E" w:rsidRDefault="0050479B" w:rsidP="00A25F1D">
      <w:pPr>
        <w:spacing w:before="100" w:beforeAutospacing="1"/>
        <w:jc w:val="center"/>
        <w:rPr>
          <w:sz w:val="28"/>
          <w:szCs w:val="28"/>
          <w:lang w:val="en-GB"/>
        </w:rPr>
      </w:pPr>
      <w:r w:rsidRPr="00175A1E">
        <w:rPr>
          <w:b/>
          <w:bCs/>
          <w:sz w:val="28"/>
          <w:szCs w:val="28"/>
          <w:lang w:val="en-GB"/>
        </w:rPr>
        <w:t>STUDENT INQUIRY VIA ELECTRONIC FORM</w:t>
      </w:r>
    </w:p>
    <w:p w:rsidR="00A25F1D" w:rsidRPr="00175A1E" w:rsidRDefault="00A25F1D" w:rsidP="00D8367F">
      <w:pPr>
        <w:spacing w:before="100" w:beforeAutospacing="1"/>
        <w:jc w:val="both"/>
        <w:rPr>
          <w:sz w:val="28"/>
          <w:szCs w:val="28"/>
          <w:lang w:val="en-GB"/>
        </w:rPr>
      </w:pPr>
    </w:p>
    <w:p w:rsidR="00D8367F" w:rsidRPr="00175A1E" w:rsidRDefault="0050479B" w:rsidP="00D8367F">
      <w:pPr>
        <w:spacing w:before="100" w:beforeAutospacing="1"/>
        <w:jc w:val="both"/>
        <w:rPr>
          <w:lang w:val="en-GB"/>
        </w:rPr>
      </w:pPr>
      <w:r w:rsidRPr="00175A1E">
        <w:rPr>
          <w:sz w:val="28"/>
          <w:szCs w:val="28"/>
          <w:lang w:val="en-GB"/>
        </w:rPr>
        <w:t>Dear students</w:t>
      </w:r>
      <w:r w:rsidR="00D8367F" w:rsidRPr="00175A1E">
        <w:rPr>
          <w:sz w:val="28"/>
          <w:szCs w:val="28"/>
          <w:lang w:val="en-GB"/>
        </w:rPr>
        <w:t>,</w:t>
      </w:r>
    </w:p>
    <w:p w:rsidR="0050479B" w:rsidRPr="00175A1E" w:rsidRDefault="0050479B" w:rsidP="00D8367F">
      <w:pPr>
        <w:spacing w:before="100" w:beforeAutospacing="1"/>
        <w:jc w:val="both"/>
        <w:rPr>
          <w:sz w:val="28"/>
          <w:szCs w:val="28"/>
          <w:lang w:val="en-GB"/>
        </w:rPr>
      </w:pPr>
      <w:r w:rsidRPr="00175A1E">
        <w:rPr>
          <w:sz w:val="28"/>
          <w:szCs w:val="28"/>
          <w:lang w:val="en-GB"/>
        </w:rPr>
        <w:t>As every semester, also this time we would like to ask you to express your opinion on teachers and subjects that you will take this semester.</w:t>
      </w:r>
    </w:p>
    <w:p w:rsidR="0050479B" w:rsidRPr="00175A1E" w:rsidRDefault="0050479B" w:rsidP="00D8367F">
      <w:pPr>
        <w:spacing w:before="100" w:beforeAutospacing="1"/>
        <w:jc w:val="both"/>
        <w:rPr>
          <w:sz w:val="28"/>
          <w:szCs w:val="28"/>
          <w:lang w:val="en-GB"/>
        </w:rPr>
      </w:pPr>
      <w:r w:rsidRPr="00175A1E">
        <w:rPr>
          <w:sz w:val="28"/>
          <w:szCs w:val="28"/>
          <w:lang w:val="en-GB"/>
        </w:rPr>
        <w:t>To make processing of data easier, and to keep anon</w:t>
      </w:r>
      <w:r w:rsidR="00315962">
        <w:rPr>
          <w:sz w:val="28"/>
          <w:szCs w:val="28"/>
          <w:lang w:val="en-GB"/>
        </w:rPr>
        <w:t>y</w:t>
      </w:r>
      <w:r w:rsidRPr="00175A1E">
        <w:rPr>
          <w:sz w:val="28"/>
          <w:szCs w:val="28"/>
          <w:lang w:val="en-GB"/>
        </w:rPr>
        <w:t xml:space="preserve">mity of your answers, we </w:t>
      </w:r>
      <w:r w:rsidR="00315962">
        <w:rPr>
          <w:sz w:val="28"/>
          <w:szCs w:val="28"/>
          <w:lang w:val="en-GB"/>
        </w:rPr>
        <w:t xml:space="preserve">approach </w:t>
      </w:r>
      <w:r w:rsidRPr="00175A1E">
        <w:rPr>
          <w:sz w:val="28"/>
          <w:szCs w:val="28"/>
          <w:lang w:val="en-GB"/>
        </w:rPr>
        <w:t>survey via electronic questionnaires by Google Forms also this year</w:t>
      </w:r>
      <w:r w:rsidR="00315962">
        <w:rPr>
          <w:sz w:val="28"/>
          <w:szCs w:val="28"/>
          <w:lang w:val="en-GB"/>
        </w:rPr>
        <w:t>.</w:t>
      </w:r>
    </w:p>
    <w:p w:rsidR="00E8563D" w:rsidRPr="00175A1E" w:rsidRDefault="00E8563D" w:rsidP="00A405D2">
      <w:pPr>
        <w:spacing w:before="100" w:beforeAutospacing="1"/>
        <w:jc w:val="both"/>
        <w:rPr>
          <w:sz w:val="28"/>
          <w:szCs w:val="28"/>
          <w:lang w:val="en-GB"/>
        </w:rPr>
      </w:pPr>
      <w:r w:rsidRPr="00175A1E">
        <w:rPr>
          <w:sz w:val="28"/>
          <w:szCs w:val="28"/>
          <w:lang w:val="en-GB"/>
        </w:rPr>
        <w:t xml:space="preserve">Questionnaires will be filled in </w:t>
      </w:r>
      <w:r w:rsidR="00336AE2">
        <w:rPr>
          <w:sz w:val="28"/>
          <w:szCs w:val="28"/>
          <w:lang w:val="en-GB"/>
        </w:rPr>
        <w:t>9</w:t>
      </w:r>
      <w:r w:rsidRPr="00175A1E">
        <w:rPr>
          <w:sz w:val="28"/>
          <w:szCs w:val="28"/>
          <w:lang w:val="en-GB"/>
        </w:rPr>
        <w:t xml:space="preserve">th week of summer semester (from </w:t>
      </w:r>
      <w:r w:rsidR="00336AE2">
        <w:rPr>
          <w:sz w:val="28"/>
          <w:szCs w:val="28"/>
          <w:lang w:val="en-GB"/>
        </w:rPr>
        <w:t>9</w:t>
      </w:r>
      <w:r w:rsidRPr="00175A1E">
        <w:rPr>
          <w:sz w:val="28"/>
          <w:szCs w:val="28"/>
          <w:lang w:val="en-GB"/>
        </w:rPr>
        <w:t xml:space="preserve">.04.2018 to </w:t>
      </w:r>
      <w:r w:rsidR="00336AE2">
        <w:rPr>
          <w:sz w:val="28"/>
          <w:szCs w:val="28"/>
          <w:lang w:val="en-GB"/>
        </w:rPr>
        <w:t>14</w:t>
      </w:r>
      <w:r w:rsidRPr="00175A1E">
        <w:rPr>
          <w:sz w:val="28"/>
          <w:szCs w:val="28"/>
          <w:lang w:val="en-GB"/>
        </w:rPr>
        <w:t>.04.2018) during lectures.</w:t>
      </w:r>
    </w:p>
    <w:p w:rsidR="00A405D2" w:rsidRPr="00175A1E" w:rsidRDefault="00E8563D" w:rsidP="00A405D2">
      <w:pPr>
        <w:spacing w:before="100" w:beforeAutospacing="1"/>
        <w:jc w:val="both"/>
        <w:rPr>
          <w:sz w:val="28"/>
          <w:szCs w:val="28"/>
          <w:lang w:val="en-GB"/>
        </w:rPr>
      </w:pPr>
      <w:r w:rsidRPr="00175A1E">
        <w:rPr>
          <w:sz w:val="28"/>
          <w:szCs w:val="28"/>
          <w:lang w:val="en-GB"/>
        </w:rPr>
        <w:t xml:space="preserve">Anonymous inquiry is organized by electronic </w:t>
      </w:r>
      <w:r w:rsidR="003B6A61" w:rsidRPr="00175A1E">
        <w:rPr>
          <w:sz w:val="28"/>
          <w:szCs w:val="28"/>
          <w:lang w:val="en-GB"/>
        </w:rPr>
        <w:t>form</w:t>
      </w:r>
      <w:r w:rsidRPr="00175A1E">
        <w:rPr>
          <w:sz w:val="28"/>
          <w:szCs w:val="28"/>
          <w:lang w:val="en-GB"/>
        </w:rPr>
        <w:t xml:space="preserve"> </w:t>
      </w:r>
      <w:r w:rsidR="003B6A61" w:rsidRPr="00175A1E">
        <w:rPr>
          <w:sz w:val="28"/>
          <w:szCs w:val="28"/>
          <w:lang w:val="en-GB"/>
        </w:rPr>
        <w:t>therefore;</w:t>
      </w:r>
      <w:r w:rsidRPr="00175A1E">
        <w:rPr>
          <w:sz w:val="28"/>
          <w:szCs w:val="28"/>
          <w:lang w:val="en-GB"/>
        </w:rPr>
        <w:t xml:space="preserve"> it is needed to have smartphone or notebook. </w:t>
      </w:r>
    </w:p>
    <w:p w:rsidR="00426334" w:rsidRPr="00175A1E" w:rsidRDefault="00E8563D" w:rsidP="00A25F1D">
      <w:pPr>
        <w:pStyle w:val="gmail-m925469191791149701gmail-msolistparagraph"/>
        <w:jc w:val="both"/>
        <w:rPr>
          <w:sz w:val="28"/>
          <w:szCs w:val="28"/>
          <w:lang w:val="en-GB"/>
        </w:rPr>
      </w:pPr>
      <w:r w:rsidRPr="00175A1E">
        <w:rPr>
          <w:sz w:val="28"/>
          <w:szCs w:val="28"/>
          <w:lang w:val="en-GB"/>
        </w:rPr>
        <w:t>Results of the inquiry will be processed as well as announced after examination period. Each student has right to assess all subjects, he or she went through in winter semester 2017/2018.</w:t>
      </w:r>
    </w:p>
    <w:p w:rsidR="00D8367F" w:rsidRPr="00175A1E" w:rsidRDefault="0009386F" w:rsidP="00D8367F">
      <w:pPr>
        <w:spacing w:before="100" w:beforeAutospacing="1"/>
        <w:jc w:val="both"/>
        <w:rPr>
          <w:sz w:val="28"/>
          <w:szCs w:val="28"/>
          <w:lang w:val="en-GB"/>
        </w:rPr>
      </w:pPr>
      <w:r w:rsidRPr="00175A1E">
        <w:rPr>
          <w:sz w:val="28"/>
          <w:szCs w:val="28"/>
          <w:lang w:val="en-GB"/>
        </w:rPr>
        <w:t xml:space="preserve">We do mind your opinion and by objective filling of the </w:t>
      </w:r>
      <w:r w:rsidR="003B6A61" w:rsidRPr="00175A1E">
        <w:rPr>
          <w:sz w:val="28"/>
          <w:szCs w:val="28"/>
          <w:lang w:val="en-GB"/>
        </w:rPr>
        <w:t>questionnaire,</w:t>
      </w:r>
      <w:r w:rsidRPr="00175A1E">
        <w:rPr>
          <w:sz w:val="28"/>
          <w:szCs w:val="28"/>
          <w:lang w:val="en-GB"/>
        </w:rPr>
        <w:t xml:space="preserve"> you contribute to further improvement of the study at University of Economics in Bratislava.</w:t>
      </w:r>
    </w:p>
    <w:p w:rsidR="0009386F" w:rsidRPr="00175A1E" w:rsidRDefault="0009386F" w:rsidP="00D8367F">
      <w:pPr>
        <w:spacing w:before="100" w:beforeAutospacing="1"/>
        <w:jc w:val="both"/>
        <w:rPr>
          <w:sz w:val="28"/>
          <w:szCs w:val="28"/>
          <w:lang w:val="en-GB"/>
        </w:rPr>
      </w:pPr>
      <w:r w:rsidRPr="00175A1E">
        <w:rPr>
          <w:sz w:val="28"/>
          <w:szCs w:val="28"/>
          <w:lang w:val="en-GB"/>
        </w:rPr>
        <w:t>List of subjects on which will be the question</w:t>
      </w:r>
      <w:r w:rsidR="00315962">
        <w:rPr>
          <w:sz w:val="28"/>
          <w:szCs w:val="28"/>
          <w:lang w:val="en-GB"/>
        </w:rPr>
        <w:t>n</w:t>
      </w:r>
      <w:r w:rsidRPr="00175A1E">
        <w:rPr>
          <w:sz w:val="28"/>
          <w:szCs w:val="28"/>
          <w:lang w:val="en-GB"/>
        </w:rPr>
        <w:t>aire distributed for specific years is in the attachment.</w:t>
      </w:r>
    </w:p>
    <w:p w:rsidR="0009386F" w:rsidRPr="00175A1E" w:rsidRDefault="0009386F" w:rsidP="00D8367F">
      <w:pPr>
        <w:spacing w:before="100" w:beforeAutospacing="1"/>
        <w:jc w:val="both"/>
        <w:rPr>
          <w:sz w:val="28"/>
          <w:szCs w:val="28"/>
          <w:lang w:val="en-GB"/>
        </w:rPr>
      </w:pPr>
    </w:p>
    <w:p w:rsidR="00AE0B35" w:rsidRPr="00175A1E" w:rsidRDefault="0009386F" w:rsidP="00D8367F">
      <w:pPr>
        <w:spacing w:before="100" w:beforeAutospacing="1"/>
        <w:jc w:val="both"/>
        <w:rPr>
          <w:sz w:val="28"/>
          <w:szCs w:val="28"/>
          <w:lang w:val="en-GB"/>
        </w:rPr>
      </w:pPr>
      <w:r w:rsidRPr="00175A1E">
        <w:rPr>
          <w:sz w:val="28"/>
          <w:szCs w:val="28"/>
          <w:lang w:val="en-GB"/>
        </w:rPr>
        <w:t>Thank you for your cooperation.</w:t>
      </w:r>
    </w:p>
    <w:p w:rsidR="00AE0B35" w:rsidRPr="00175A1E" w:rsidRDefault="00AE0B35" w:rsidP="00D8367F">
      <w:pPr>
        <w:spacing w:before="100" w:beforeAutospacing="1"/>
        <w:jc w:val="both"/>
        <w:rPr>
          <w:sz w:val="28"/>
          <w:szCs w:val="28"/>
          <w:lang w:val="en-GB"/>
        </w:rPr>
      </w:pPr>
    </w:p>
    <w:p w:rsidR="00AE0B35" w:rsidRPr="00175A1E" w:rsidRDefault="00AE0B35" w:rsidP="00D8367F">
      <w:pPr>
        <w:spacing w:before="100" w:beforeAutospacing="1"/>
        <w:jc w:val="both"/>
        <w:rPr>
          <w:sz w:val="28"/>
          <w:szCs w:val="28"/>
          <w:lang w:val="en-GB"/>
        </w:rPr>
      </w:pPr>
    </w:p>
    <w:p w:rsidR="00AE0B35" w:rsidRDefault="00AE0B35" w:rsidP="00D8367F">
      <w:pPr>
        <w:spacing w:before="100" w:beforeAutospacing="1"/>
        <w:jc w:val="both"/>
        <w:rPr>
          <w:sz w:val="28"/>
          <w:szCs w:val="28"/>
          <w:lang w:val="en-GB"/>
        </w:rPr>
      </w:pPr>
    </w:p>
    <w:p w:rsidR="00315962" w:rsidRDefault="00315962" w:rsidP="00D8367F">
      <w:pPr>
        <w:spacing w:before="100" w:beforeAutospacing="1"/>
        <w:jc w:val="both"/>
        <w:rPr>
          <w:sz w:val="28"/>
          <w:szCs w:val="28"/>
          <w:lang w:val="en-GB"/>
        </w:rPr>
      </w:pPr>
    </w:p>
    <w:p w:rsidR="00315962" w:rsidRPr="00175A1E" w:rsidRDefault="00315962" w:rsidP="00D8367F">
      <w:pPr>
        <w:spacing w:before="100" w:beforeAutospacing="1"/>
        <w:jc w:val="both"/>
        <w:rPr>
          <w:sz w:val="28"/>
          <w:szCs w:val="28"/>
          <w:lang w:val="en-GB"/>
        </w:rPr>
      </w:pPr>
    </w:p>
    <w:p w:rsidR="00AE0B35" w:rsidRPr="00175A1E" w:rsidRDefault="00315962" w:rsidP="00AE0B35">
      <w:pPr>
        <w:jc w:val="both"/>
        <w:rPr>
          <w:b/>
          <w:sz w:val="28"/>
          <w:szCs w:val="28"/>
          <w:lang w:val="en-GB"/>
        </w:rPr>
      </w:pPr>
      <w:r>
        <w:rPr>
          <w:b/>
          <w:sz w:val="28"/>
          <w:szCs w:val="28"/>
          <w:lang w:val="en-GB"/>
        </w:rPr>
        <w:lastRenderedPageBreak/>
        <w:t>Subjects where will the inquiry take place</w:t>
      </w:r>
      <w:r w:rsidR="00AE0B35" w:rsidRPr="00175A1E">
        <w:rPr>
          <w:b/>
          <w:sz w:val="28"/>
          <w:szCs w:val="28"/>
          <w:lang w:val="en-GB"/>
        </w:rPr>
        <w:t>:</w:t>
      </w:r>
    </w:p>
    <w:p w:rsidR="00AE0B35" w:rsidRDefault="005574F5" w:rsidP="00AE0B35">
      <w:pPr>
        <w:jc w:val="both"/>
        <w:rPr>
          <w:b/>
          <w:sz w:val="28"/>
          <w:szCs w:val="28"/>
          <w:lang w:val="en-GB"/>
        </w:rPr>
      </w:pPr>
      <w:r>
        <w:rPr>
          <w:b/>
          <w:sz w:val="28"/>
          <w:szCs w:val="28"/>
          <w:lang w:val="en-GB"/>
        </w:rPr>
        <w:t>Full-time study</w:t>
      </w:r>
      <w:r w:rsidR="00C55952" w:rsidRPr="00175A1E">
        <w:rPr>
          <w:b/>
          <w:sz w:val="28"/>
          <w:szCs w:val="28"/>
          <w:lang w:val="en-GB"/>
        </w:rPr>
        <w:t>:</w:t>
      </w:r>
    </w:p>
    <w:p w:rsidR="00315962" w:rsidRPr="00175A1E" w:rsidRDefault="00315962" w:rsidP="00AE0B35">
      <w:pPr>
        <w:jc w:val="both"/>
        <w:rPr>
          <w:b/>
          <w:sz w:val="28"/>
          <w:szCs w:val="28"/>
          <w:lang w:val="en-GB"/>
        </w:rPr>
      </w:pPr>
    </w:p>
    <w:p w:rsidR="003D7336" w:rsidRPr="00175A1E" w:rsidRDefault="003B6A61" w:rsidP="00114437">
      <w:pPr>
        <w:rPr>
          <w:lang w:val="en-GB"/>
        </w:rPr>
      </w:pPr>
      <w:r>
        <w:rPr>
          <w:lang w:val="en-GB"/>
        </w:rPr>
        <w:t>1</w:t>
      </w:r>
      <w:r w:rsidRPr="00175A1E">
        <w:rPr>
          <w:lang w:val="en-GB"/>
        </w:rPr>
        <w:t xml:space="preserve">. </w:t>
      </w:r>
      <w:r>
        <w:rPr>
          <w:lang w:val="en-GB"/>
        </w:rPr>
        <w:t>year</w:t>
      </w:r>
      <w:r w:rsidRPr="00175A1E">
        <w:rPr>
          <w:lang w:val="en-GB"/>
        </w:rPr>
        <w:t xml:space="preserve"> 2. </w:t>
      </w:r>
      <w:r>
        <w:rPr>
          <w:lang w:val="en-GB"/>
        </w:rPr>
        <w:t>grade</w:t>
      </w:r>
      <w:r w:rsidRPr="00175A1E">
        <w:rPr>
          <w:lang w:val="en-GB"/>
        </w:rPr>
        <w:t xml:space="preserve"> - </w:t>
      </w:r>
      <w:r>
        <w:rPr>
          <w:lang w:val="en-GB"/>
        </w:rPr>
        <w:t>during the lecture will students assess all subjects of the study programme</w:t>
      </w:r>
    </w:p>
    <w:tbl>
      <w:tblPr>
        <w:tblStyle w:val="Mriekatabuky"/>
        <w:tblpPr w:leftFromText="142" w:rightFromText="142" w:vertAnchor="text" w:horzAnchor="margin" w:tblpX="-856" w:tblpY="1"/>
        <w:tblOverlap w:val="never"/>
        <w:tblW w:w="11052" w:type="dxa"/>
        <w:tblLayout w:type="fixed"/>
        <w:tblLook w:val="04A0" w:firstRow="1" w:lastRow="0" w:firstColumn="1" w:lastColumn="0" w:noHBand="0" w:noVBand="1"/>
      </w:tblPr>
      <w:tblGrid>
        <w:gridCol w:w="3681"/>
        <w:gridCol w:w="1276"/>
        <w:gridCol w:w="1388"/>
        <w:gridCol w:w="1985"/>
        <w:gridCol w:w="2722"/>
      </w:tblGrid>
      <w:tr w:rsidR="00FA182E" w:rsidRPr="00175A1E" w:rsidTr="003B6A61">
        <w:trPr>
          <w:trHeight w:val="415"/>
        </w:trPr>
        <w:tc>
          <w:tcPr>
            <w:tcW w:w="3681" w:type="dxa"/>
          </w:tcPr>
          <w:p w:rsidR="00FA182E" w:rsidRPr="00175A1E" w:rsidRDefault="00FA182E" w:rsidP="00FA182E">
            <w:pPr>
              <w:rPr>
                <w:b/>
                <w:lang w:val="en-GB"/>
              </w:rPr>
            </w:pPr>
            <w:r>
              <w:rPr>
                <w:b/>
                <w:lang w:val="en-GB"/>
              </w:rPr>
              <w:t>Subject</w:t>
            </w:r>
          </w:p>
        </w:tc>
        <w:tc>
          <w:tcPr>
            <w:tcW w:w="1276" w:type="dxa"/>
          </w:tcPr>
          <w:p w:rsidR="00FA182E" w:rsidRPr="00175A1E" w:rsidRDefault="00FA182E" w:rsidP="00FA182E">
            <w:pPr>
              <w:rPr>
                <w:b/>
                <w:lang w:val="en-GB"/>
              </w:rPr>
            </w:pPr>
            <w:r>
              <w:rPr>
                <w:b/>
                <w:lang w:val="en-GB"/>
              </w:rPr>
              <w:t>Classroom</w:t>
            </w:r>
          </w:p>
        </w:tc>
        <w:tc>
          <w:tcPr>
            <w:tcW w:w="1388" w:type="dxa"/>
          </w:tcPr>
          <w:p w:rsidR="00FA182E" w:rsidRPr="00175A1E" w:rsidRDefault="00FA182E" w:rsidP="00FA182E">
            <w:pPr>
              <w:rPr>
                <w:b/>
                <w:lang w:val="en-GB"/>
              </w:rPr>
            </w:pPr>
            <w:r>
              <w:rPr>
                <w:b/>
                <w:lang w:val="en-GB"/>
              </w:rPr>
              <w:t>Day</w:t>
            </w:r>
            <w:r w:rsidRPr="00175A1E">
              <w:rPr>
                <w:b/>
                <w:lang w:val="en-GB"/>
              </w:rPr>
              <w:t xml:space="preserve">    </w:t>
            </w:r>
          </w:p>
        </w:tc>
        <w:tc>
          <w:tcPr>
            <w:tcW w:w="1985" w:type="dxa"/>
          </w:tcPr>
          <w:p w:rsidR="00FA182E" w:rsidRPr="00175A1E" w:rsidRDefault="00FA182E" w:rsidP="00FA182E">
            <w:pPr>
              <w:rPr>
                <w:b/>
                <w:lang w:val="en-GB"/>
              </w:rPr>
            </w:pPr>
            <w:r w:rsidRPr="00175A1E">
              <w:rPr>
                <w:b/>
                <w:lang w:val="en-GB"/>
              </w:rPr>
              <w:t xml:space="preserve"> </w:t>
            </w:r>
            <w:r>
              <w:rPr>
                <w:b/>
                <w:lang w:val="en-GB"/>
              </w:rPr>
              <w:t>Time</w:t>
            </w:r>
          </w:p>
        </w:tc>
        <w:tc>
          <w:tcPr>
            <w:tcW w:w="2722" w:type="dxa"/>
          </w:tcPr>
          <w:p w:rsidR="00FA182E" w:rsidRPr="00175A1E" w:rsidRDefault="00FA182E" w:rsidP="00FA182E">
            <w:pPr>
              <w:rPr>
                <w:b/>
                <w:lang w:val="en-GB"/>
              </w:rPr>
            </w:pPr>
            <w:r>
              <w:rPr>
                <w:b/>
                <w:lang w:val="en-GB"/>
              </w:rPr>
              <w:t>Study programme</w:t>
            </w:r>
          </w:p>
        </w:tc>
      </w:tr>
      <w:tr w:rsidR="00336AE2" w:rsidRPr="00175A1E" w:rsidTr="00DB6CC4">
        <w:tc>
          <w:tcPr>
            <w:tcW w:w="3681" w:type="dxa"/>
            <w:shd w:val="clear" w:color="auto" w:fill="auto"/>
            <w:vAlign w:val="center"/>
          </w:tcPr>
          <w:p w:rsidR="00336AE2" w:rsidRPr="00175A1E" w:rsidRDefault="00336AE2" w:rsidP="00336AE2">
            <w:pPr>
              <w:rPr>
                <w:lang w:val="en-GB"/>
              </w:rPr>
            </w:pPr>
            <w:r w:rsidRPr="00175A1E">
              <w:rPr>
                <w:lang w:val="en-GB"/>
              </w:rPr>
              <w:t>Microeconomics 2</w:t>
            </w:r>
          </w:p>
        </w:tc>
        <w:tc>
          <w:tcPr>
            <w:tcW w:w="1276" w:type="dxa"/>
            <w:shd w:val="clear" w:color="auto" w:fill="auto"/>
            <w:vAlign w:val="center"/>
          </w:tcPr>
          <w:p w:rsidR="00336AE2" w:rsidRPr="00BE2C9A" w:rsidRDefault="00336AE2" w:rsidP="00336AE2">
            <w:r>
              <w:t>B106</w:t>
            </w:r>
          </w:p>
        </w:tc>
        <w:tc>
          <w:tcPr>
            <w:tcW w:w="1388" w:type="dxa"/>
            <w:shd w:val="clear" w:color="auto" w:fill="auto"/>
          </w:tcPr>
          <w:p w:rsidR="00336AE2" w:rsidRDefault="00336AE2" w:rsidP="00336AE2">
            <w:r>
              <w:t>Wednesday</w:t>
            </w:r>
            <w:bookmarkStart w:id="0" w:name="_GoBack"/>
            <w:bookmarkEnd w:id="0"/>
          </w:p>
        </w:tc>
        <w:tc>
          <w:tcPr>
            <w:tcW w:w="1985" w:type="dxa"/>
            <w:shd w:val="clear" w:color="auto" w:fill="auto"/>
            <w:vAlign w:val="center"/>
          </w:tcPr>
          <w:p w:rsidR="00336AE2" w:rsidRPr="00BE2C9A" w:rsidRDefault="00336AE2" w:rsidP="00336AE2">
            <w:r>
              <w:t>11:00</w:t>
            </w:r>
          </w:p>
        </w:tc>
        <w:tc>
          <w:tcPr>
            <w:tcW w:w="2722" w:type="dxa"/>
            <w:shd w:val="clear" w:color="auto" w:fill="auto"/>
            <w:vAlign w:val="center"/>
          </w:tcPr>
          <w:p w:rsidR="00336AE2" w:rsidRPr="00BE2C9A" w:rsidRDefault="00336AE2" w:rsidP="00336AE2">
            <w:r>
              <w:t>IF</w:t>
            </w:r>
          </w:p>
        </w:tc>
      </w:tr>
    </w:tbl>
    <w:p w:rsidR="00114437" w:rsidRPr="00175A1E" w:rsidRDefault="00114437" w:rsidP="00114437">
      <w:pPr>
        <w:rPr>
          <w:lang w:val="en-GB"/>
        </w:rPr>
      </w:pPr>
    </w:p>
    <w:p w:rsidR="00A47E5F" w:rsidRPr="00175A1E" w:rsidRDefault="00114437" w:rsidP="00114437">
      <w:pPr>
        <w:rPr>
          <w:lang w:val="en-GB"/>
        </w:rPr>
      </w:pPr>
      <w:r w:rsidRPr="00175A1E">
        <w:rPr>
          <w:lang w:val="en-GB"/>
        </w:rPr>
        <w:t xml:space="preserve">2. </w:t>
      </w:r>
      <w:r w:rsidR="00FA182E">
        <w:rPr>
          <w:lang w:val="en-GB"/>
        </w:rPr>
        <w:t>year</w:t>
      </w:r>
      <w:r w:rsidRPr="00175A1E">
        <w:rPr>
          <w:lang w:val="en-GB"/>
        </w:rPr>
        <w:t xml:space="preserve"> 2. </w:t>
      </w:r>
      <w:r w:rsidR="00FA182E">
        <w:rPr>
          <w:lang w:val="en-GB"/>
        </w:rPr>
        <w:t>grade</w:t>
      </w:r>
      <w:r w:rsidR="00A47E5F" w:rsidRPr="00175A1E">
        <w:rPr>
          <w:lang w:val="en-GB"/>
        </w:rPr>
        <w:t xml:space="preserve"> - </w:t>
      </w:r>
      <w:r w:rsidR="00FA182E">
        <w:rPr>
          <w:lang w:val="en-GB"/>
        </w:rPr>
        <w:t>during the lecture will students assess all subjects of the study programme</w:t>
      </w:r>
    </w:p>
    <w:tbl>
      <w:tblPr>
        <w:tblStyle w:val="Mriekatabuky"/>
        <w:tblpPr w:leftFromText="142" w:rightFromText="142" w:vertAnchor="text" w:horzAnchor="margin" w:tblpX="-856" w:tblpY="1"/>
        <w:tblOverlap w:val="never"/>
        <w:tblW w:w="11052" w:type="dxa"/>
        <w:tblLayout w:type="fixed"/>
        <w:tblLook w:val="04A0" w:firstRow="1" w:lastRow="0" w:firstColumn="1" w:lastColumn="0" w:noHBand="0" w:noVBand="1"/>
      </w:tblPr>
      <w:tblGrid>
        <w:gridCol w:w="3681"/>
        <w:gridCol w:w="1276"/>
        <w:gridCol w:w="1388"/>
        <w:gridCol w:w="1985"/>
        <w:gridCol w:w="2722"/>
      </w:tblGrid>
      <w:tr w:rsidR="00FA182E" w:rsidRPr="00175A1E" w:rsidTr="003B6A61">
        <w:trPr>
          <w:trHeight w:val="415"/>
        </w:trPr>
        <w:tc>
          <w:tcPr>
            <w:tcW w:w="3681" w:type="dxa"/>
          </w:tcPr>
          <w:p w:rsidR="00FA182E" w:rsidRPr="00175A1E" w:rsidRDefault="00FA182E" w:rsidP="00FA182E">
            <w:pPr>
              <w:rPr>
                <w:b/>
                <w:lang w:val="en-GB"/>
              </w:rPr>
            </w:pPr>
            <w:r>
              <w:rPr>
                <w:b/>
                <w:lang w:val="en-GB"/>
              </w:rPr>
              <w:t>Subject</w:t>
            </w:r>
          </w:p>
        </w:tc>
        <w:tc>
          <w:tcPr>
            <w:tcW w:w="1276" w:type="dxa"/>
          </w:tcPr>
          <w:p w:rsidR="00FA182E" w:rsidRPr="00175A1E" w:rsidRDefault="00FA182E" w:rsidP="00FA182E">
            <w:pPr>
              <w:rPr>
                <w:b/>
                <w:lang w:val="en-GB"/>
              </w:rPr>
            </w:pPr>
            <w:r>
              <w:rPr>
                <w:b/>
                <w:lang w:val="en-GB"/>
              </w:rPr>
              <w:t>Classroom</w:t>
            </w:r>
          </w:p>
        </w:tc>
        <w:tc>
          <w:tcPr>
            <w:tcW w:w="1388" w:type="dxa"/>
          </w:tcPr>
          <w:p w:rsidR="00FA182E" w:rsidRPr="00175A1E" w:rsidRDefault="00FA182E" w:rsidP="00FA182E">
            <w:pPr>
              <w:rPr>
                <w:b/>
                <w:lang w:val="en-GB"/>
              </w:rPr>
            </w:pPr>
            <w:r>
              <w:rPr>
                <w:b/>
                <w:lang w:val="en-GB"/>
              </w:rPr>
              <w:t>Day</w:t>
            </w:r>
            <w:r w:rsidRPr="00175A1E">
              <w:rPr>
                <w:b/>
                <w:lang w:val="en-GB"/>
              </w:rPr>
              <w:t xml:space="preserve">    </w:t>
            </w:r>
          </w:p>
        </w:tc>
        <w:tc>
          <w:tcPr>
            <w:tcW w:w="1985" w:type="dxa"/>
          </w:tcPr>
          <w:p w:rsidR="00FA182E" w:rsidRPr="00175A1E" w:rsidRDefault="00FA182E" w:rsidP="00FA182E">
            <w:pPr>
              <w:rPr>
                <w:b/>
                <w:lang w:val="en-GB"/>
              </w:rPr>
            </w:pPr>
            <w:r w:rsidRPr="00175A1E">
              <w:rPr>
                <w:b/>
                <w:lang w:val="en-GB"/>
              </w:rPr>
              <w:t xml:space="preserve"> </w:t>
            </w:r>
            <w:r>
              <w:rPr>
                <w:b/>
                <w:lang w:val="en-GB"/>
              </w:rPr>
              <w:t>Time</w:t>
            </w:r>
          </w:p>
        </w:tc>
        <w:tc>
          <w:tcPr>
            <w:tcW w:w="2722" w:type="dxa"/>
          </w:tcPr>
          <w:p w:rsidR="00FA182E" w:rsidRPr="00175A1E" w:rsidRDefault="00FA182E" w:rsidP="00FA182E">
            <w:pPr>
              <w:rPr>
                <w:b/>
                <w:lang w:val="en-GB"/>
              </w:rPr>
            </w:pPr>
            <w:r>
              <w:rPr>
                <w:b/>
                <w:lang w:val="en-GB"/>
              </w:rPr>
              <w:t>Study programme</w:t>
            </w:r>
          </w:p>
        </w:tc>
      </w:tr>
      <w:tr w:rsidR="00D93118" w:rsidRPr="00175A1E" w:rsidTr="003B6A61">
        <w:tc>
          <w:tcPr>
            <w:tcW w:w="3681" w:type="dxa"/>
            <w:shd w:val="clear" w:color="auto" w:fill="auto"/>
            <w:vAlign w:val="center"/>
          </w:tcPr>
          <w:p w:rsidR="00D93118" w:rsidRPr="00175A1E" w:rsidRDefault="003B6A61" w:rsidP="00C24935">
            <w:pPr>
              <w:rPr>
                <w:lang w:val="en-GB"/>
              </w:rPr>
            </w:pPr>
            <w:r>
              <w:rPr>
                <w:lang w:val="en-GB"/>
              </w:rPr>
              <w:t>International taxation</w:t>
            </w:r>
          </w:p>
        </w:tc>
        <w:tc>
          <w:tcPr>
            <w:tcW w:w="1276" w:type="dxa"/>
            <w:shd w:val="clear" w:color="auto" w:fill="auto"/>
            <w:vAlign w:val="center"/>
          </w:tcPr>
          <w:p w:rsidR="00D93118" w:rsidRPr="00175A1E" w:rsidRDefault="00D93118" w:rsidP="00C24935">
            <w:pPr>
              <w:rPr>
                <w:lang w:val="en-GB"/>
              </w:rPr>
            </w:pPr>
            <w:r w:rsidRPr="00175A1E">
              <w:rPr>
                <w:lang w:val="en-GB"/>
              </w:rPr>
              <w:t>D112</w:t>
            </w:r>
          </w:p>
        </w:tc>
        <w:tc>
          <w:tcPr>
            <w:tcW w:w="1388" w:type="dxa"/>
            <w:shd w:val="clear" w:color="auto" w:fill="auto"/>
            <w:vAlign w:val="center"/>
          </w:tcPr>
          <w:p w:rsidR="00D93118" w:rsidRPr="00175A1E" w:rsidRDefault="003B6A61" w:rsidP="00C24935">
            <w:pPr>
              <w:rPr>
                <w:lang w:val="en-GB"/>
              </w:rPr>
            </w:pPr>
            <w:r>
              <w:rPr>
                <w:lang w:val="en-GB"/>
              </w:rPr>
              <w:t>Wednesday</w:t>
            </w:r>
          </w:p>
        </w:tc>
        <w:tc>
          <w:tcPr>
            <w:tcW w:w="1985" w:type="dxa"/>
            <w:shd w:val="clear" w:color="auto" w:fill="auto"/>
            <w:vAlign w:val="center"/>
          </w:tcPr>
          <w:p w:rsidR="00D93118" w:rsidRPr="00175A1E" w:rsidRDefault="00D93118" w:rsidP="001A7B2B">
            <w:pPr>
              <w:rPr>
                <w:lang w:val="en-GB"/>
              </w:rPr>
            </w:pPr>
            <w:r w:rsidRPr="00175A1E">
              <w:rPr>
                <w:lang w:val="en-GB"/>
              </w:rPr>
              <w:t>17</w:t>
            </w:r>
            <w:r w:rsidR="001A7B2B" w:rsidRPr="00175A1E">
              <w:rPr>
                <w:lang w:val="en-GB"/>
              </w:rPr>
              <w:t>:</w:t>
            </w:r>
            <w:r w:rsidRPr="00175A1E">
              <w:rPr>
                <w:lang w:val="en-GB"/>
              </w:rPr>
              <w:t>00</w:t>
            </w:r>
          </w:p>
        </w:tc>
        <w:tc>
          <w:tcPr>
            <w:tcW w:w="2722" w:type="dxa"/>
            <w:shd w:val="clear" w:color="auto" w:fill="auto"/>
            <w:vAlign w:val="center"/>
          </w:tcPr>
          <w:p w:rsidR="00D93118" w:rsidRPr="00175A1E" w:rsidRDefault="00D93118" w:rsidP="00A47E5F">
            <w:pPr>
              <w:rPr>
                <w:lang w:val="en-GB"/>
              </w:rPr>
            </w:pPr>
            <w:r w:rsidRPr="00175A1E">
              <w:rPr>
                <w:lang w:val="en-GB"/>
              </w:rPr>
              <w:t>IF</w:t>
            </w:r>
          </w:p>
        </w:tc>
      </w:tr>
    </w:tbl>
    <w:p w:rsidR="000674CB" w:rsidRDefault="000674CB" w:rsidP="007C5B23">
      <w:pPr>
        <w:jc w:val="both"/>
        <w:rPr>
          <w:lang w:val="en-GB"/>
        </w:rPr>
      </w:pPr>
    </w:p>
    <w:p w:rsidR="00E07676" w:rsidRDefault="00E07676" w:rsidP="007C5B23">
      <w:pPr>
        <w:jc w:val="both"/>
        <w:rPr>
          <w:lang w:val="en-GB"/>
        </w:rPr>
      </w:pPr>
    </w:p>
    <w:p w:rsidR="00E07676" w:rsidRDefault="00E07676" w:rsidP="007C5B23">
      <w:pPr>
        <w:jc w:val="both"/>
        <w:rPr>
          <w:lang w:val="en-GB"/>
        </w:rPr>
      </w:pPr>
    </w:p>
    <w:p w:rsidR="00E07676" w:rsidRDefault="00E07676" w:rsidP="007C5B23">
      <w:pPr>
        <w:jc w:val="both"/>
        <w:rPr>
          <w:lang w:val="en-GB"/>
        </w:rPr>
      </w:pPr>
    </w:p>
    <w:p w:rsidR="00E07676" w:rsidRDefault="00E07676" w:rsidP="007C5B23">
      <w:pPr>
        <w:jc w:val="both"/>
        <w:rPr>
          <w:lang w:val="en-GB"/>
        </w:rPr>
      </w:pPr>
    </w:p>
    <w:p w:rsidR="00E07676" w:rsidRDefault="00E07676" w:rsidP="007C5B23">
      <w:pPr>
        <w:jc w:val="both"/>
        <w:rPr>
          <w:lang w:val="en-GB"/>
        </w:rPr>
      </w:pPr>
    </w:p>
    <w:p w:rsidR="00E07676" w:rsidRPr="00E07676" w:rsidRDefault="00E07676" w:rsidP="007C5B23">
      <w:pPr>
        <w:jc w:val="both"/>
        <w:rPr>
          <w:b/>
          <w:sz w:val="32"/>
          <w:szCs w:val="32"/>
          <w:lang w:val="en-GB"/>
        </w:rPr>
      </w:pPr>
      <w:r w:rsidRPr="00E07676">
        <w:rPr>
          <w:rStyle w:val="shorttext"/>
          <w:b/>
          <w:sz w:val="32"/>
          <w:szCs w:val="32"/>
          <w:lang w:val="en"/>
        </w:rPr>
        <w:t>List of subjects in the summer semester and their abbreviations</w:t>
      </w:r>
    </w:p>
    <w:p w:rsidR="00E07676" w:rsidRDefault="00E07676" w:rsidP="007C5B23">
      <w:pPr>
        <w:jc w:val="both"/>
        <w:rPr>
          <w:lang w:val="en-GB"/>
        </w:rPr>
      </w:pPr>
    </w:p>
    <w:p w:rsidR="00E07676" w:rsidRPr="00653D08" w:rsidRDefault="00E07676" w:rsidP="00E07676">
      <w:pPr>
        <w:rPr>
          <w:b/>
          <w:sz w:val="22"/>
          <w:szCs w:val="22"/>
        </w:rPr>
      </w:pPr>
      <w:r w:rsidRPr="00653D08">
        <w:rPr>
          <w:b/>
          <w:sz w:val="22"/>
          <w:szCs w:val="22"/>
        </w:rPr>
        <w:t>International Finance</w:t>
      </w:r>
    </w:p>
    <w:tbl>
      <w:tblPr>
        <w:tblStyle w:val="Mriekatabuky"/>
        <w:tblpPr w:leftFromText="142" w:rightFromText="142" w:vertAnchor="text" w:horzAnchor="margin" w:tblpX="-866" w:tblpY="1"/>
        <w:tblOverlap w:val="never"/>
        <w:tblW w:w="11052" w:type="dxa"/>
        <w:tblLayout w:type="fixed"/>
        <w:tblLook w:val="04A0" w:firstRow="1" w:lastRow="0" w:firstColumn="1" w:lastColumn="0" w:noHBand="0" w:noVBand="1"/>
      </w:tblPr>
      <w:tblGrid>
        <w:gridCol w:w="5529"/>
        <w:gridCol w:w="5523"/>
      </w:tblGrid>
      <w:tr w:rsidR="00E07676" w:rsidRPr="00313B17" w:rsidTr="00E07676">
        <w:tc>
          <w:tcPr>
            <w:tcW w:w="5529" w:type="dxa"/>
            <w:vAlign w:val="center"/>
          </w:tcPr>
          <w:p w:rsidR="00E07676" w:rsidRPr="00653D08" w:rsidRDefault="00E07676" w:rsidP="00E07676">
            <w:pPr>
              <w:rPr>
                <w:color w:val="000000" w:themeColor="text1"/>
                <w:sz w:val="22"/>
                <w:szCs w:val="22"/>
                <w:lang w:val="en-US"/>
              </w:rPr>
            </w:pPr>
            <w:r w:rsidRPr="00653D08">
              <w:rPr>
                <w:color w:val="000000" w:themeColor="text1"/>
                <w:sz w:val="22"/>
                <w:szCs w:val="22"/>
                <w:lang w:val="en-US"/>
              </w:rPr>
              <w:t>Finance of Self-government Units</w:t>
            </w:r>
          </w:p>
        </w:tc>
        <w:tc>
          <w:tcPr>
            <w:tcW w:w="5523" w:type="dxa"/>
            <w:vAlign w:val="center"/>
          </w:tcPr>
          <w:p w:rsidR="00E07676" w:rsidRPr="00653D08" w:rsidRDefault="00E07676" w:rsidP="00E07676">
            <w:pPr>
              <w:rPr>
                <w:color w:val="000000" w:themeColor="text1"/>
                <w:sz w:val="22"/>
                <w:szCs w:val="22"/>
                <w:lang w:val="en-US"/>
              </w:rPr>
            </w:pPr>
            <w:r w:rsidRPr="00653D08">
              <w:rPr>
                <w:color w:val="000000" w:themeColor="text1"/>
                <w:sz w:val="22"/>
                <w:szCs w:val="22"/>
                <w:lang w:val="en-US"/>
              </w:rPr>
              <w:t>FSGU</w:t>
            </w:r>
          </w:p>
        </w:tc>
      </w:tr>
      <w:tr w:rsidR="00E07676" w:rsidRPr="00313B17" w:rsidTr="00E07676">
        <w:tc>
          <w:tcPr>
            <w:tcW w:w="5529" w:type="dxa"/>
            <w:vAlign w:val="center"/>
          </w:tcPr>
          <w:p w:rsidR="00E07676" w:rsidRPr="00653D08" w:rsidRDefault="00E07676" w:rsidP="00E07676">
            <w:pPr>
              <w:rPr>
                <w:color w:val="000000" w:themeColor="text1"/>
                <w:sz w:val="22"/>
                <w:szCs w:val="22"/>
                <w:lang w:val="en-US"/>
              </w:rPr>
            </w:pPr>
            <w:r w:rsidRPr="00653D08">
              <w:rPr>
                <w:color w:val="000000" w:themeColor="text1"/>
                <w:sz w:val="22"/>
                <w:szCs w:val="22"/>
                <w:lang w:val="en-US"/>
              </w:rPr>
              <w:t>Financial Control</w:t>
            </w:r>
          </w:p>
        </w:tc>
        <w:tc>
          <w:tcPr>
            <w:tcW w:w="5523" w:type="dxa"/>
            <w:vAlign w:val="center"/>
          </w:tcPr>
          <w:p w:rsidR="00E07676" w:rsidRPr="00653D08" w:rsidRDefault="00E07676" w:rsidP="00E07676">
            <w:pPr>
              <w:rPr>
                <w:color w:val="000000" w:themeColor="text1"/>
                <w:sz w:val="22"/>
                <w:szCs w:val="22"/>
                <w:lang w:val="en-US"/>
              </w:rPr>
            </w:pPr>
            <w:r w:rsidRPr="00653D08">
              <w:rPr>
                <w:color w:val="000000" w:themeColor="text1"/>
                <w:sz w:val="22"/>
                <w:szCs w:val="22"/>
                <w:lang w:val="en-US"/>
              </w:rPr>
              <w:t>FC</w:t>
            </w:r>
          </w:p>
        </w:tc>
      </w:tr>
      <w:tr w:rsidR="00E07676" w:rsidRPr="00313B17" w:rsidTr="00E07676">
        <w:tc>
          <w:tcPr>
            <w:tcW w:w="5529" w:type="dxa"/>
            <w:vAlign w:val="center"/>
          </w:tcPr>
          <w:p w:rsidR="00E07676" w:rsidRPr="00653D08" w:rsidRDefault="00E07676" w:rsidP="00E07676">
            <w:pPr>
              <w:rPr>
                <w:color w:val="000000" w:themeColor="text1"/>
                <w:sz w:val="22"/>
                <w:szCs w:val="22"/>
                <w:lang w:val="en-US"/>
              </w:rPr>
            </w:pPr>
            <w:r w:rsidRPr="00653D08">
              <w:rPr>
                <w:color w:val="000000" w:themeColor="text1"/>
                <w:sz w:val="22"/>
                <w:szCs w:val="22"/>
                <w:lang w:val="en-US"/>
              </w:rPr>
              <w:t>Financial Accounting</w:t>
            </w:r>
          </w:p>
        </w:tc>
        <w:tc>
          <w:tcPr>
            <w:tcW w:w="5523" w:type="dxa"/>
            <w:vAlign w:val="center"/>
          </w:tcPr>
          <w:p w:rsidR="00E07676" w:rsidRPr="00653D08" w:rsidRDefault="00E07676" w:rsidP="00E07676">
            <w:pPr>
              <w:rPr>
                <w:color w:val="000000" w:themeColor="text1"/>
                <w:sz w:val="22"/>
                <w:szCs w:val="22"/>
                <w:lang w:val="en-US"/>
              </w:rPr>
            </w:pPr>
            <w:r w:rsidRPr="00653D08">
              <w:rPr>
                <w:color w:val="000000" w:themeColor="text1"/>
                <w:sz w:val="22"/>
                <w:szCs w:val="22"/>
                <w:lang w:val="en-US"/>
              </w:rPr>
              <w:t>FA</w:t>
            </w:r>
          </w:p>
        </w:tc>
      </w:tr>
      <w:tr w:rsidR="00E07676" w:rsidRPr="00313B17" w:rsidTr="00E07676">
        <w:tc>
          <w:tcPr>
            <w:tcW w:w="5529" w:type="dxa"/>
            <w:vAlign w:val="center"/>
          </w:tcPr>
          <w:p w:rsidR="00E07676" w:rsidRPr="00653D08" w:rsidRDefault="00E07676" w:rsidP="00E07676">
            <w:pPr>
              <w:rPr>
                <w:color w:val="000000" w:themeColor="text1"/>
                <w:sz w:val="22"/>
                <w:szCs w:val="22"/>
                <w:lang w:val="en-US"/>
              </w:rPr>
            </w:pPr>
            <w:r w:rsidRPr="00653D08">
              <w:rPr>
                <w:color w:val="000000" w:themeColor="text1"/>
                <w:sz w:val="22"/>
                <w:szCs w:val="22"/>
                <w:lang w:val="en-US"/>
              </w:rPr>
              <w:t>Capital Structure of Companies</w:t>
            </w:r>
          </w:p>
        </w:tc>
        <w:tc>
          <w:tcPr>
            <w:tcW w:w="5523" w:type="dxa"/>
            <w:vAlign w:val="center"/>
          </w:tcPr>
          <w:p w:rsidR="00E07676" w:rsidRPr="00653D08" w:rsidRDefault="00E07676" w:rsidP="00E07676">
            <w:pPr>
              <w:rPr>
                <w:color w:val="000000" w:themeColor="text1"/>
                <w:sz w:val="22"/>
                <w:szCs w:val="22"/>
                <w:lang w:val="en-US"/>
              </w:rPr>
            </w:pPr>
            <w:r w:rsidRPr="00653D08">
              <w:rPr>
                <w:color w:val="000000" w:themeColor="text1"/>
                <w:sz w:val="22"/>
                <w:szCs w:val="22"/>
                <w:lang w:val="en-US"/>
              </w:rPr>
              <w:t>CSC</w:t>
            </w:r>
          </w:p>
        </w:tc>
      </w:tr>
      <w:tr w:rsidR="00E07676" w:rsidRPr="00313B17" w:rsidTr="00E07676">
        <w:tc>
          <w:tcPr>
            <w:tcW w:w="5529" w:type="dxa"/>
            <w:shd w:val="clear" w:color="auto" w:fill="FFFFFF" w:themeFill="background1"/>
            <w:vAlign w:val="center"/>
          </w:tcPr>
          <w:p w:rsidR="00E07676" w:rsidRPr="00653D08" w:rsidRDefault="00E07676" w:rsidP="00E07676">
            <w:pPr>
              <w:rPr>
                <w:color w:val="000000" w:themeColor="text1"/>
                <w:sz w:val="22"/>
                <w:szCs w:val="22"/>
                <w:lang w:val="en-US"/>
              </w:rPr>
            </w:pPr>
            <w:r w:rsidRPr="00653D08">
              <w:rPr>
                <w:color w:val="000000" w:themeColor="text1"/>
                <w:sz w:val="22"/>
                <w:szCs w:val="22"/>
                <w:lang w:val="en-US"/>
              </w:rPr>
              <w:t>Financial Econometrics</w:t>
            </w:r>
          </w:p>
        </w:tc>
        <w:tc>
          <w:tcPr>
            <w:tcW w:w="5523" w:type="dxa"/>
            <w:shd w:val="clear" w:color="auto" w:fill="FFFFFF" w:themeFill="background1"/>
            <w:vAlign w:val="center"/>
          </w:tcPr>
          <w:p w:rsidR="00E07676" w:rsidRPr="00653D08" w:rsidRDefault="00E07676" w:rsidP="00E07676">
            <w:pPr>
              <w:rPr>
                <w:color w:val="000000" w:themeColor="text1"/>
                <w:sz w:val="22"/>
                <w:szCs w:val="22"/>
                <w:lang w:val="en-US"/>
              </w:rPr>
            </w:pPr>
            <w:r w:rsidRPr="00653D08">
              <w:rPr>
                <w:color w:val="000000" w:themeColor="text1"/>
                <w:sz w:val="22"/>
                <w:szCs w:val="22"/>
                <w:lang w:val="en-US"/>
              </w:rPr>
              <w:t>FE</w:t>
            </w:r>
          </w:p>
        </w:tc>
      </w:tr>
      <w:tr w:rsidR="00E07676" w:rsidRPr="00313B17" w:rsidTr="00E07676">
        <w:tc>
          <w:tcPr>
            <w:tcW w:w="5529" w:type="dxa"/>
            <w:vAlign w:val="center"/>
          </w:tcPr>
          <w:p w:rsidR="00E07676" w:rsidRPr="00653D08" w:rsidRDefault="00E07676" w:rsidP="00E07676">
            <w:pPr>
              <w:rPr>
                <w:color w:val="000000" w:themeColor="text1"/>
                <w:sz w:val="22"/>
                <w:szCs w:val="22"/>
                <w:lang w:val="en-US"/>
              </w:rPr>
            </w:pPr>
            <w:r w:rsidRPr="00653D08">
              <w:rPr>
                <w:color w:val="000000" w:themeColor="text1"/>
                <w:sz w:val="22"/>
                <w:szCs w:val="22"/>
                <w:lang w:val="en-US"/>
              </w:rPr>
              <w:t>Valuation of financial assets</w:t>
            </w:r>
          </w:p>
        </w:tc>
        <w:tc>
          <w:tcPr>
            <w:tcW w:w="5523" w:type="dxa"/>
            <w:vAlign w:val="center"/>
          </w:tcPr>
          <w:p w:rsidR="00E07676" w:rsidRPr="00653D08" w:rsidRDefault="00E07676" w:rsidP="00E07676">
            <w:pPr>
              <w:rPr>
                <w:color w:val="000000" w:themeColor="text1"/>
                <w:sz w:val="22"/>
                <w:szCs w:val="22"/>
                <w:lang w:val="en-US"/>
              </w:rPr>
            </w:pPr>
            <w:r w:rsidRPr="00653D08">
              <w:rPr>
                <w:color w:val="000000" w:themeColor="text1"/>
                <w:sz w:val="22"/>
                <w:szCs w:val="22"/>
                <w:lang w:val="en-US"/>
              </w:rPr>
              <w:t>VFE</w:t>
            </w:r>
          </w:p>
        </w:tc>
      </w:tr>
      <w:tr w:rsidR="00E07676" w:rsidRPr="00313B17" w:rsidTr="00E07676">
        <w:tc>
          <w:tcPr>
            <w:tcW w:w="5529" w:type="dxa"/>
            <w:vAlign w:val="center"/>
          </w:tcPr>
          <w:p w:rsidR="00E07676" w:rsidRPr="00653D08" w:rsidRDefault="00E07676" w:rsidP="00E07676">
            <w:pPr>
              <w:rPr>
                <w:color w:val="000000" w:themeColor="text1"/>
                <w:sz w:val="22"/>
                <w:szCs w:val="22"/>
                <w:lang w:val="en-US"/>
              </w:rPr>
            </w:pPr>
            <w:r w:rsidRPr="00653D08">
              <w:rPr>
                <w:color w:val="000000" w:themeColor="text1"/>
                <w:sz w:val="22"/>
                <w:szCs w:val="22"/>
                <w:lang w:val="en-US"/>
              </w:rPr>
              <w:t>Risk and Uncertainty in Finance</w:t>
            </w:r>
          </w:p>
        </w:tc>
        <w:tc>
          <w:tcPr>
            <w:tcW w:w="5523" w:type="dxa"/>
            <w:vAlign w:val="center"/>
          </w:tcPr>
          <w:p w:rsidR="00E07676" w:rsidRPr="00653D08" w:rsidRDefault="00E07676" w:rsidP="00E07676">
            <w:pPr>
              <w:rPr>
                <w:color w:val="000000" w:themeColor="text1"/>
                <w:sz w:val="22"/>
                <w:szCs w:val="22"/>
                <w:lang w:val="en-US"/>
              </w:rPr>
            </w:pPr>
            <w:r w:rsidRPr="00653D08">
              <w:rPr>
                <w:color w:val="000000" w:themeColor="text1"/>
                <w:sz w:val="22"/>
                <w:szCs w:val="22"/>
                <w:lang w:val="en-US"/>
              </w:rPr>
              <w:t>RUF</w:t>
            </w:r>
          </w:p>
        </w:tc>
      </w:tr>
      <w:tr w:rsidR="00E07676" w:rsidRPr="00313B17" w:rsidTr="00E07676">
        <w:tc>
          <w:tcPr>
            <w:tcW w:w="5529" w:type="dxa"/>
            <w:vAlign w:val="center"/>
          </w:tcPr>
          <w:p w:rsidR="00E07676" w:rsidRPr="00653D08" w:rsidRDefault="00E07676" w:rsidP="00E07676">
            <w:pPr>
              <w:rPr>
                <w:color w:val="000000" w:themeColor="text1"/>
                <w:sz w:val="22"/>
                <w:szCs w:val="22"/>
                <w:lang w:val="en-US"/>
              </w:rPr>
            </w:pPr>
            <w:r w:rsidRPr="00653D08">
              <w:rPr>
                <w:color w:val="000000" w:themeColor="text1"/>
                <w:sz w:val="22"/>
                <w:szCs w:val="22"/>
                <w:lang w:val="en-US"/>
              </w:rPr>
              <w:t>Macroeconomics 2</w:t>
            </w:r>
          </w:p>
        </w:tc>
        <w:tc>
          <w:tcPr>
            <w:tcW w:w="5523" w:type="dxa"/>
            <w:vAlign w:val="center"/>
          </w:tcPr>
          <w:p w:rsidR="00E07676" w:rsidRPr="00653D08" w:rsidRDefault="00E07676" w:rsidP="00E07676">
            <w:pPr>
              <w:rPr>
                <w:color w:val="000000" w:themeColor="text1"/>
                <w:sz w:val="22"/>
                <w:szCs w:val="22"/>
                <w:lang w:val="en-US"/>
              </w:rPr>
            </w:pPr>
            <w:r w:rsidRPr="00653D08">
              <w:rPr>
                <w:color w:val="000000" w:themeColor="text1"/>
                <w:sz w:val="22"/>
                <w:szCs w:val="22"/>
                <w:lang w:val="en-US"/>
              </w:rPr>
              <w:t>Macroeconomics 2</w:t>
            </w:r>
          </w:p>
        </w:tc>
      </w:tr>
      <w:tr w:rsidR="00E07676" w:rsidRPr="00313B17" w:rsidTr="00E07676">
        <w:tc>
          <w:tcPr>
            <w:tcW w:w="5529" w:type="dxa"/>
            <w:vAlign w:val="center"/>
          </w:tcPr>
          <w:p w:rsidR="00E07676" w:rsidRPr="00653D08" w:rsidRDefault="00E07676" w:rsidP="00E07676">
            <w:pPr>
              <w:rPr>
                <w:color w:val="000000" w:themeColor="text1"/>
                <w:sz w:val="22"/>
                <w:szCs w:val="22"/>
                <w:lang w:val="en-US"/>
              </w:rPr>
            </w:pPr>
            <w:r w:rsidRPr="00653D08">
              <w:rPr>
                <w:color w:val="000000" w:themeColor="text1"/>
                <w:sz w:val="22"/>
                <w:szCs w:val="22"/>
                <w:lang w:val="en-US"/>
              </w:rPr>
              <w:t>Monetary analysis and prognosis</w:t>
            </w:r>
          </w:p>
        </w:tc>
        <w:tc>
          <w:tcPr>
            <w:tcW w:w="5523" w:type="dxa"/>
            <w:vAlign w:val="center"/>
          </w:tcPr>
          <w:p w:rsidR="00E07676" w:rsidRPr="00653D08" w:rsidRDefault="00E07676" w:rsidP="00E07676">
            <w:pPr>
              <w:rPr>
                <w:color w:val="000000" w:themeColor="text1"/>
                <w:sz w:val="22"/>
                <w:szCs w:val="22"/>
                <w:lang w:val="en-US"/>
              </w:rPr>
            </w:pPr>
            <w:r w:rsidRPr="00653D08">
              <w:rPr>
                <w:color w:val="000000" w:themeColor="text1"/>
                <w:sz w:val="22"/>
                <w:szCs w:val="22"/>
                <w:lang w:val="en-US"/>
              </w:rPr>
              <w:t>MAP</w:t>
            </w:r>
          </w:p>
        </w:tc>
      </w:tr>
    </w:tbl>
    <w:p w:rsidR="00E07676" w:rsidRPr="00F8407C" w:rsidRDefault="00E07676" w:rsidP="00E07676">
      <w:pPr>
        <w:rPr>
          <w:sz w:val="22"/>
          <w:szCs w:val="22"/>
          <w:lang w:val="sk-SK"/>
        </w:rPr>
      </w:pPr>
    </w:p>
    <w:p w:rsidR="00E07676" w:rsidRPr="00175A1E" w:rsidRDefault="00E07676" w:rsidP="007C5B23">
      <w:pPr>
        <w:jc w:val="both"/>
        <w:rPr>
          <w:lang w:val="en-GB"/>
        </w:rPr>
      </w:pPr>
    </w:p>
    <w:sectPr w:rsidR="00E07676" w:rsidRPr="00175A1E" w:rsidSect="000845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1AF" w:rsidRDefault="002421AF" w:rsidP="007C5B23">
      <w:r>
        <w:separator/>
      </w:r>
    </w:p>
  </w:endnote>
  <w:endnote w:type="continuationSeparator" w:id="0">
    <w:p w:rsidR="002421AF" w:rsidRDefault="002421AF" w:rsidP="007C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1AF" w:rsidRDefault="002421AF" w:rsidP="007C5B23">
      <w:r>
        <w:separator/>
      </w:r>
    </w:p>
  </w:footnote>
  <w:footnote w:type="continuationSeparator" w:id="0">
    <w:p w:rsidR="002421AF" w:rsidRDefault="002421AF" w:rsidP="007C5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235D3"/>
    <w:multiLevelType w:val="hybridMultilevel"/>
    <w:tmpl w:val="A24E32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7F"/>
    <w:rsid w:val="00042F71"/>
    <w:rsid w:val="000674CB"/>
    <w:rsid w:val="00070849"/>
    <w:rsid w:val="000845D3"/>
    <w:rsid w:val="0009386F"/>
    <w:rsid w:val="000A4228"/>
    <w:rsid w:val="000E00FE"/>
    <w:rsid w:val="00101D8B"/>
    <w:rsid w:val="001117D2"/>
    <w:rsid w:val="00111DAD"/>
    <w:rsid w:val="00114437"/>
    <w:rsid w:val="00175A1E"/>
    <w:rsid w:val="00194232"/>
    <w:rsid w:val="001A7B2B"/>
    <w:rsid w:val="002053AB"/>
    <w:rsid w:val="00235B32"/>
    <w:rsid w:val="002421AF"/>
    <w:rsid w:val="00265A89"/>
    <w:rsid w:val="00273474"/>
    <w:rsid w:val="0027772C"/>
    <w:rsid w:val="00295C16"/>
    <w:rsid w:val="002C303E"/>
    <w:rsid w:val="00315962"/>
    <w:rsid w:val="00336AE2"/>
    <w:rsid w:val="003538DD"/>
    <w:rsid w:val="003B6A61"/>
    <w:rsid w:val="003D7336"/>
    <w:rsid w:val="004243A1"/>
    <w:rsid w:val="00426334"/>
    <w:rsid w:val="004403A6"/>
    <w:rsid w:val="0045498A"/>
    <w:rsid w:val="004A1926"/>
    <w:rsid w:val="0050479B"/>
    <w:rsid w:val="00506B7B"/>
    <w:rsid w:val="005574F5"/>
    <w:rsid w:val="00567176"/>
    <w:rsid w:val="006050FA"/>
    <w:rsid w:val="00606D34"/>
    <w:rsid w:val="00640AC4"/>
    <w:rsid w:val="006463F6"/>
    <w:rsid w:val="0065023D"/>
    <w:rsid w:val="00662B36"/>
    <w:rsid w:val="00695633"/>
    <w:rsid w:val="00705663"/>
    <w:rsid w:val="00736C3C"/>
    <w:rsid w:val="00757647"/>
    <w:rsid w:val="007602A1"/>
    <w:rsid w:val="007A1FB4"/>
    <w:rsid w:val="007C5B23"/>
    <w:rsid w:val="007F4AFE"/>
    <w:rsid w:val="007F5F15"/>
    <w:rsid w:val="00844C99"/>
    <w:rsid w:val="008E298F"/>
    <w:rsid w:val="00907947"/>
    <w:rsid w:val="0092535A"/>
    <w:rsid w:val="009351D2"/>
    <w:rsid w:val="00980618"/>
    <w:rsid w:val="009B60ED"/>
    <w:rsid w:val="00A25F1D"/>
    <w:rsid w:val="00A405D2"/>
    <w:rsid w:val="00A47E5F"/>
    <w:rsid w:val="00A54CE4"/>
    <w:rsid w:val="00A91A00"/>
    <w:rsid w:val="00AA6384"/>
    <w:rsid w:val="00AE0B35"/>
    <w:rsid w:val="00BE2C9A"/>
    <w:rsid w:val="00C079D0"/>
    <w:rsid w:val="00C24935"/>
    <w:rsid w:val="00C55952"/>
    <w:rsid w:val="00C723D6"/>
    <w:rsid w:val="00C77824"/>
    <w:rsid w:val="00C8729D"/>
    <w:rsid w:val="00C87FBC"/>
    <w:rsid w:val="00CB1489"/>
    <w:rsid w:val="00CB349A"/>
    <w:rsid w:val="00D15CFC"/>
    <w:rsid w:val="00D830EA"/>
    <w:rsid w:val="00D8367F"/>
    <w:rsid w:val="00D93118"/>
    <w:rsid w:val="00D93B32"/>
    <w:rsid w:val="00E07676"/>
    <w:rsid w:val="00E31955"/>
    <w:rsid w:val="00E71049"/>
    <w:rsid w:val="00E8563D"/>
    <w:rsid w:val="00E86665"/>
    <w:rsid w:val="00E92F2B"/>
    <w:rsid w:val="00EA7CB7"/>
    <w:rsid w:val="00EF5E37"/>
    <w:rsid w:val="00F32F05"/>
    <w:rsid w:val="00F451DF"/>
    <w:rsid w:val="00FA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EEA9"/>
  <w15:docId w15:val="{2B4BAB15-7F39-4AE8-AA07-6A844556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367F"/>
    <w:pPr>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gmail-m925469191791149701gmail-msolistparagraph">
    <w:name w:val="gmail-m_925469191791149701gmail-msolistparagraph"/>
    <w:basedOn w:val="Normlny"/>
    <w:rsid w:val="00D8367F"/>
    <w:pPr>
      <w:spacing w:before="100" w:beforeAutospacing="1" w:after="100" w:afterAutospacing="1"/>
    </w:pPr>
  </w:style>
  <w:style w:type="paragraph" w:styleId="Textbubliny">
    <w:name w:val="Balloon Text"/>
    <w:basedOn w:val="Normlny"/>
    <w:link w:val="TextbublinyChar"/>
    <w:uiPriority w:val="99"/>
    <w:semiHidden/>
    <w:unhideWhenUsed/>
    <w:rsid w:val="007F5F15"/>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F15"/>
    <w:rPr>
      <w:rFonts w:ascii="Segoe UI" w:hAnsi="Segoe UI" w:cs="Segoe UI"/>
      <w:sz w:val="18"/>
      <w:szCs w:val="18"/>
    </w:rPr>
  </w:style>
  <w:style w:type="character" w:styleId="Hypertextovprepojenie">
    <w:name w:val="Hyperlink"/>
    <w:basedOn w:val="Predvolenpsmoodseku"/>
    <w:uiPriority w:val="99"/>
    <w:unhideWhenUsed/>
    <w:rsid w:val="00A25F1D"/>
    <w:rPr>
      <w:color w:val="0563C1" w:themeColor="hyperlink"/>
      <w:u w:val="single"/>
    </w:rPr>
  </w:style>
  <w:style w:type="character" w:styleId="PouitHypertextovPrepojenie">
    <w:name w:val="FollowedHyperlink"/>
    <w:basedOn w:val="Predvolenpsmoodseku"/>
    <w:uiPriority w:val="99"/>
    <w:semiHidden/>
    <w:unhideWhenUsed/>
    <w:rsid w:val="00A25F1D"/>
    <w:rPr>
      <w:color w:val="954F72" w:themeColor="followedHyperlink"/>
      <w:u w:val="single"/>
    </w:rPr>
  </w:style>
  <w:style w:type="paragraph" w:styleId="Normlnywebov">
    <w:name w:val="Normal (Web)"/>
    <w:basedOn w:val="Normlny"/>
    <w:uiPriority w:val="99"/>
    <w:semiHidden/>
    <w:unhideWhenUsed/>
    <w:rsid w:val="00A25F1D"/>
    <w:pPr>
      <w:spacing w:before="100" w:beforeAutospacing="1" w:after="100" w:afterAutospacing="1"/>
    </w:pPr>
    <w:rPr>
      <w:rFonts w:eastAsia="Times New Roman"/>
      <w:lang w:val="sk-SK" w:eastAsia="sk-SK"/>
    </w:rPr>
  </w:style>
  <w:style w:type="table" w:styleId="Mriekatabuky">
    <w:name w:val="Table Grid"/>
    <w:basedOn w:val="Normlnatabuka"/>
    <w:uiPriority w:val="39"/>
    <w:rsid w:val="00AE0B35"/>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E0B35"/>
    <w:pPr>
      <w:spacing w:after="160" w:line="259" w:lineRule="auto"/>
      <w:ind w:left="720"/>
      <w:contextualSpacing/>
    </w:pPr>
    <w:rPr>
      <w:rFonts w:asciiTheme="minorHAnsi" w:hAnsiTheme="minorHAnsi" w:cstheme="minorBidi"/>
      <w:sz w:val="22"/>
      <w:szCs w:val="22"/>
      <w:lang w:val="sk-SK"/>
    </w:rPr>
  </w:style>
  <w:style w:type="paragraph" w:styleId="Hlavika">
    <w:name w:val="header"/>
    <w:basedOn w:val="Normlny"/>
    <w:link w:val="HlavikaChar"/>
    <w:uiPriority w:val="99"/>
    <w:unhideWhenUsed/>
    <w:rsid w:val="007C5B23"/>
    <w:pPr>
      <w:tabs>
        <w:tab w:val="center" w:pos="4536"/>
        <w:tab w:val="right" w:pos="9072"/>
      </w:tabs>
    </w:pPr>
  </w:style>
  <w:style w:type="character" w:customStyle="1" w:styleId="HlavikaChar">
    <w:name w:val="Hlavička Char"/>
    <w:basedOn w:val="Predvolenpsmoodseku"/>
    <w:link w:val="Hlavika"/>
    <w:uiPriority w:val="99"/>
    <w:rsid w:val="007C5B23"/>
    <w:rPr>
      <w:rFonts w:ascii="Times New Roman" w:hAnsi="Times New Roman" w:cs="Times New Roman"/>
      <w:sz w:val="24"/>
      <w:szCs w:val="24"/>
    </w:rPr>
  </w:style>
  <w:style w:type="paragraph" w:styleId="Pta">
    <w:name w:val="footer"/>
    <w:basedOn w:val="Normlny"/>
    <w:link w:val="PtaChar"/>
    <w:uiPriority w:val="99"/>
    <w:unhideWhenUsed/>
    <w:rsid w:val="007C5B23"/>
    <w:pPr>
      <w:tabs>
        <w:tab w:val="center" w:pos="4536"/>
        <w:tab w:val="right" w:pos="9072"/>
      </w:tabs>
    </w:pPr>
  </w:style>
  <w:style w:type="character" w:customStyle="1" w:styleId="PtaChar">
    <w:name w:val="Päta Char"/>
    <w:basedOn w:val="Predvolenpsmoodseku"/>
    <w:link w:val="Pta"/>
    <w:uiPriority w:val="99"/>
    <w:rsid w:val="007C5B23"/>
    <w:rPr>
      <w:rFonts w:ascii="Times New Roman" w:hAnsi="Times New Roman" w:cs="Times New Roman"/>
      <w:sz w:val="24"/>
      <w:szCs w:val="24"/>
    </w:rPr>
  </w:style>
  <w:style w:type="character" w:customStyle="1" w:styleId="shorttext">
    <w:name w:val="short_text"/>
    <w:basedOn w:val="Predvolenpsmoodseku"/>
    <w:rsid w:val="00E07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12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A479B-C5F9-4855-944B-9C29B4BE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281</Words>
  <Characters>1608</Characters>
  <Application>Microsoft Office Word</Application>
  <DocSecurity>0</DocSecurity>
  <Lines>13</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Goldfish_92</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Peliova | Prorektor EU v Bratislave</dc:creator>
  <cp:lastModifiedBy>Adka</cp:lastModifiedBy>
  <cp:revision>4</cp:revision>
  <cp:lastPrinted>2017-10-26T12:12:00Z</cp:lastPrinted>
  <dcterms:created xsi:type="dcterms:W3CDTF">2018-03-22T07:29:00Z</dcterms:created>
  <dcterms:modified xsi:type="dcterms:W3CDTF">2018-03-22T14:16:00Z</dcterms:modified>
</cp:coreProperties>
</file>