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652E" w14:textId="05EF1222" w:rsidR="00651926" w:rsidRDefault="003932B7" w:rsidP="00651926">
      <w:pPr>
        <w:spacing w:before="120" w:after="12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926">
        <w:rPr>
          <w:rFonts w:ascii="Times New Roman" w:hAnsi="Times New Roman"/>
          <w:b/>
          <w:sz w:val="28"/>
          <w:szCs w:val="28"/>
        </w:rPr>
        <w:t>Otázky na bakalárske štátne záverečné skúšky</w:t>
      </w:r>
      <w:r w:rsidR="002A3E12">
        <w:rPr>
          <w:rFonts w:ascii="Times New Roman" w:hAnsi="Times New Roman"/>
          <w:b/>
          <w:sz w:val="28"/>
          <w:szCs w:val="28"/>
        </w:rPr>
        <w:t xml:space="preserve"> z predmetu</w:t>
      </w:r>
      <w:r w:rsidR="00651926" w:rsidRPr="00651926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5A385938" w14:textId="1661CD91" w:rsidR="00651926" w:rsidRPr="00651926" w:rsidRDefault="00651926" w:rsidP="00651926">
      <w:pPr>
        <w:spacing w:before="120" w:after="12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NÁRODOHOSPODÁRSKE NÁUKY</w:t>
      </w:r>
    </w:p>
    <w:p w14:paraId="73BAF829" w14:textId="4E0FF45A" w:rsidR="00651926" w:rsidRDefault="00651926" w:rsidP="00651926">
      <w:pPr>
        <w:spacing w:before="120" w:after="12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926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 akadem</w:t>
      </w:r>
      <w:r w:rsidR="00151B00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ický rok 2019/2020</w:t>
      </w:r>
    </w:p>
    <w:p w14:paraId="4E47C69D" w14:textId="77777777" w:rsidR="00651926" w:rsidRPr="00651926" w:rsidRDefault="00651926" w:rsidP="00651926">
      <w:pPr>
        <w:spacing w:before="120" w:after="12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A1E2B3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>Trhový mechanizmus. Nedokonalosti trhu. Zásahy štátu do trhového mechanizmu.</w:t>
      </w:r>
    </w:p>
    <w:p w14:paraId="3B4DBA25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>Elasticita dopytu a ponuky. Ďalšie formy elasticity a ich využitie pri ekonomickom rozhodovaní.</w:t>
      </w:r>
    </w:p>
    <w:p w14:paraId="2BA62B0C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 xml:space="preserve">Rovnováha spotrebiteľa – </w:t>
      </w:r>
      <w:proofErr w:type="spellStart"/>
      <w:r w:rsidRPr="00E03C27">
        <w:rPr>
          <w:rFonts w:ascii="Times New Roman" w:hAnsi="Times New Roman"/>
          <w:color w:val="000000"/>
        </w:rPr>
        <w:t>kardinalistický</w:t>
      </w:r>
      <w:proofErr w:type="spellEnd"/>
      <w:r w:rsidRPr="00E03C27">
        <w:rPr>
          <w:rFonts w:ascii="Times New Roman" w:hAnsi="Times New Roman"/>
          <w:color w:val="000000"/>
        </w:rPr>
        <w:t xml:space="preserve"> a </w:t>
      </w:r>
      <w:proofErr w:type="spellStart"/>
      <w:r w:rsidRPr="00E03C27">
        <w:rPr>
          <w:rFonts w:ascii="Times New Roman" w:hAnsi="Times New Roman"/>
          <w:color w:val="000000"/>
        </w:rPr>
        <w:t>ordinalistický</w:t>
      </w:r>
      <w:proofErr w:type="spellEnd"/>
      <w:r w:rsidRPr="00E03C27">
        <w:rPr>
          <w:rFonts w:ascii="Times New Roman" w:hAnsi="Times New Roman"/>
          <w:color w:val="000000"/>
        </w:rPr>
        <w:t xml:space="preserve"> prístup. Koncept užitočnosti a podmienky rovnováhy spotrebiteľa. </w:t>
      </w:r>
      <w:proofErr w:type="spellStart"/>
      <w:r w:rsidRPr="00E03C27">
        <w:rPr>
          <w:rFonts w:ascii="Times New Roman" w:hAnsi="Times New Roman"/>
          <w:color w:val="000000"/>
        </w:rPr>
        <w:t>Indiferenčná</w:t>
      </w:r>
      <w:proofErr w:type="spellEnd"/>
      <w:r w:rsidRPr="00E03C27">
        <w:rPr>
          <w:rFonts w:ascii="Times New Roman" w:hAnsi="Times New Roman"/>
          <w:color w:val="000000"/>
        </w:rPr>
        <w:t xml:space="preserve"> analýza.</w:t>
      </w:r>
    </w:p>
    <w:p w14:paraId="21D73BE2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>Správanie sa firmy v podmienkach dokonalej konkurencie v krátkom a v dlhom období.</w:t>
      </w:r>
    </w:p>
    <w:p w14:paraId="7769C5A8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>Správanie sa firmy v podmienkach monopolu – príčiny vzniku monopolov, maximalizácia zisku firmy v krátkom a v dlhom období.</w:t>
      </w:r>
    </w:p>
    <w:p w14:paraId="06D84BC2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>Správanie sa firmy v podmienkach oligopolu – základná charakteristika trhovej štruktúry oligopolu, rozhodovanie sa firmy o maximalizácii zisku. Teória hier a jej význam pri analýze oligopolu.</w:t>
      </w:r>
    </w:p>
    <w:p w14:paraId="3FB95DA4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>Správanie sa firmy v podmienkach monopolistickej konkurencie – základná charakteristika trhovej štruktúry monopolistickej konkurencie, rovnováha firmy v krátkom a v dlhom období.</w:t>
      </w:r>
    </w:p>
    <w:p w14:paraId="71216940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>Postavenie a rozhodovanie sa subjektov na trhu výrobných faktorov. Špecifiká trhu práce, trhu pôdy a trhu kapitálu.</w:t>
      </w:r>
    </w:p>
    <w:p w14:paraId="4D6BC7C4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 xml:space="preserve">Hrubý domáci produkt a hrubý národný produkt. Metódy merania hrubého domáceho produktu. Rozlišovanie medzi reálnym a nominálnym HDP. Nedokonalosti HDP a alternatívne spôsoby merania výkonnosti ekonomiky. </w:t>
      </w:r>
    </w:p>
    <w:p w14:paraId="35DE6A0F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>Spotreba, úspory a investície. Teórie spotreby a úspor. Investície a </w:t>
      </w:r>
      <w:proofErr w:type="spellStart"/>
      <w:r w:rsidRPr="00E03C27">
        <w:rPr>
          <w:rFonts w:ascii="Times New Roman" w:hAnsi="Times New Roman"/>
          <w:color w:val="000000"/>
        </w:rPr>
        <w:t>multiplikačný</w:t>
      </w:r>
      <w:proofErr w:type="spellEnd"/>
      <w:r w:rsidRPr="00E03C27">
        <w:rPr>
          <w:rFonts w:ascii="Times New Roman" w:hAnsi="Times New Roman"/>
          <w:color w:val="000000"/>
        </w:rPr>
        <w:t xml:space="preserve"> efekt.</w:t>
      </w:r>
    </w:p>
    <w:p w14:paraId="34F38746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>Ekonomický rast. Meranie ekonomického rastu. Extenzívne a intenzívne zdroje rastu. Teórie ekonomického rastu.</w:t>
      </w:r>
    </w:p>
    <w:p w14:paraId="1B34CFC7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>Ekonomický cyklus, jeho priebeh a fázy. Dopytové a ponukové šoky a ich demonštrácia v modeli agregátneho dopytu a agregátnej ponuky. Teórie ekonomického cyklu.</w:t>
      </w:r>
    </w:p>
    <w:p w14:paraId="6210129C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>Inflácia a cenové indexy. Ekonomické príčiny, dôsledky a riešenia problému inflácie. Kvantitatívna teória peňazí a rovnica výmeny.</w:t>
      </w:r>
    </w:p>
    <w:p w14:paraId="72165FDF" w14:textId="77777777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 xml:space="preserve">Nezamestnanosť – podstata a formy nezamestnanosti. Vzájomný vzťah nezamestnanosti a inflácie – </w:t>
      </w:r>
      <w:proofErr w:type="spellStart"/>
      <w:r w:rsidRPr="00E03C27">
        <w:rPr>
          <w:rFonts w:ascii="Times New Roman" w:hAnsi="Times New Roman"/>
          <w:color w:val="000000"/>
        </w:rPr>
        <w:t>Phillipsova</w:t>
      </w:r>
      <w:proofErr w:type="spellEnd"/>
      <w:r w:rsidRPr="00E03C27">
        <w:rPr>
          <w:rFonts w:ascii="Times New Roman" w:hAnsi="Times New Roman"/>
          <w:color w:val="000000"/>
        </w:rPr>
        <w:t xml:space="preserve"> krivka v krátkom a v dlhom období.</w:t>
      </w:r>
    </w:p>
    <w:p w14:paraId="30D6A3FE" w14:textId="50787769" w:rsidR="00262C47" w:rsidRPr="00E03C2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E03C27">
        <w:rPr>
          <w:rFonts w:ascii="Times New Roman" w:hAnsi="Times New Roman"/>
          <w:color w:val="000000"/>
        </w:rPr>
        <w:t>Medzinárodný obchod a teória komparatívnych výhod. Obchodné politiky a ich nástroje. Formy ekonomickej integrácie.</w:t>
      </w:r>
    </w:p>
    <w:p w14:paraId="6692624E" w14:textId="77777777" w:rsidR="00262C47" w:rsidRPr="0057265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572657">
        <w:rPr>
          <w:rFonts w:ascii="Times New Roman" w:hAnsi="Times New Roman"/>
          <w:shd w:val="clear" w:color="auto" w:fill="FFFFFF"/>
        </w:rPr>
        <w:t xml:space="preserve">Dôvody pre realizáciu hospodárskej politiky a jej úloha v spoločnosti. </w:t>
      </w:r>
      <w:r w:rsidRPr="00572657">
        <w:rPr>
          <w:rFonts w:ascii="Times New Roman" w:hAnsi="Times New Roman"/>
        </w:rPr>
        <w:t>Ponukovo a dopytovo orientovaná hospodárska politika.</w:t>
      </w:r>
    </w:p>
    <w:p w14:paraId="18D23E2E" w14:textId="77777777" w:rsidR="00262C47" w:rsidRPr="0057265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572657">
        <w:rPr>
          <w:rFonts w:ascii="Times New Roman" w:hAnsi="Times New Roman"/>
        </w:rPr>
        <w:t>Stabilizačná politika, jej podstata, ciele a nástroje. Úloha fiškálnej, menovej a vonkajšej hospodárskej politiky pri stabilizácii ekonomiky – ich koordinácia.</w:t>
      </w:r>
    </w:p>
    <w:p w14:paraId="54A81724" w14:textId="77777777" w:rsidR="00262C47" w:rsidRPr="00572657" w:rsidRDefault="00262C47" w:rsidP="00262C4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572657">
        <w:rPr>
          <w:rFonts w:ascii="Times New Roman" w:hAnsi="Times New Roman"/>
        </w:rPr>
        <w:t>Mikroekonomické hospodárske politiky, ich ciele a nástroje. Na príklade politiky hospodárskej súťaže a štruktúrnej politiky vysvetlite využitie mikroekonomických politík.</w:t>
      </w:r>
    </w:p>
    <w:p w14:paraId="4BA6026A" w14:textId="77777777" w:rsidR="00572657" w:rsidRPr="00572657" w:rsidRDefault="00262C47" w:rsidP="0057265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572657">
        <w:rPr>
          <w:rFonts w:ascii="Times New Roman" w:hAnsi="Times New Roman"/>
        </w:rPr>
        <w:t xml:space="preserve">Inštitucionálny rámec hospodárskej politiky. Ciele a nástroje hospodárskej politiky. Nositelia hospodárskej politiky. </w:t>
      </w:r>
    </w:p>
    <w:p w14:paraId="2DF934E7" w14:textId="77777777" w:rsidR="00572657" w:rsidRPr="00572657" w:rsidRDefault="00572657" w:rsidP="0057265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572657">
        <w:rPr>
          <w:rFonts w:ascii="Times New Roman" w:hAnsi="Times New Roman"/>
        </w:rPr>
        <w:lastRenderedPageBreak/>
        <w:t>Postavenie financií v ekonomickej a finančnej vede. Členenie financií podľa ekonomických sektorov v NH. Základná charakteristika jednotlivých sektorov s dôrazom na ich špecifiká a ich miesto v národnom hospodárstve. Aktuálne otázky.</w:t>
      </w:r>
    </w:p>
    <w:p w14:paraId="5A9656D7" w14:textId="77777777" w:rsidR="00572657" w:rsidRPr="00572657" w:rsidRDefault="00572657" w:rsidP="0057265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572657">
        <w:rPr>
          <w:rFonts w:ascii="Times New Roman" w:hAnsi="Times New Roman"/>
        </w:rPr>
        <w:t xml:space="preserve">Podnikové financie ako súčasť financií vo väzbe k ekonomickým sektorom národného hospodárstva. Podniky ako subjekty finančného trhu. </w:t>
      </w:r>
    </w:p>
    <w:p w14:paraId="66DCA183" w14:textId="77777777" w:rsidR="00572657" w:rsidRPr="00572657" w:rsidRDefault="00572657" w:rsidP="0057265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572657">
        <w:rPr>
          <w:rFonts w:ascii="Times New Roman" w:hAnsi="Times New Roman"/>
        </w:rPr>
        <w:t xml:space="preserve">Banková sústava a jej funkcie. Pozícia centrálnej banky v bankovom systéme. Pozícia komerčnej banky v bankovom systéme. Banky ako subjekty finančného trhu. </w:t>
      </w:r>
    </w:p>
    <w:p w14:paraId="744100C8" w14:textId="77777777" w:rsidR="00572657" w:rsidRPr="00572657" w:rsidRDefault="00572657" w:rsidP="0057265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572657">
        <w:rPr>
          <w:rFonts w:ascii="Times New Roman" w:hAnsi="Times New Roman"/>
        </w:rPr>
        <w:t>Poistenie a charakteristika systému poistných vzťahov. Základné princípy a funkcie poistenia. Riziko v poistných vzťahoch. Spoločné a rozdielne znaky komerčného poistenia a poistenia v systéme sociálneho zabezpečenia.</w:t>
      </w:r>
    </w:p>
    <w:p w14:paraId="2633A763" w14:textId="77777777" w:rsidR="00572657" w:rsidRPr="00572657" w:rsidRDefault="00572657" w:rsidP="0057265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572657">
        <w:rPr>
          <w:rFonts w:ascii="Times New Roman" w:hAnsi="Times New Roman"/>
        </w:rPr>
        <w:t>Vláda ako subjekt finančného trhu. Vymedzenie verejného sektora a  verejných financií. Faktory ovplyvňujúce rozsah a štruktúru verejného sektora. Význam a opodstatnenie fungovania štátnych účelových fondov a verejnoprospešných podnikov v národnom hospodárstve.</w:t>
      </w:r>
    </w:p>
    <w:p w14:paraId="32F2D7CD" w14:textId="77777777" w:rsidR="00572657" w:rsidRPr="00572657" w:rsidRDefault="00572657" w:rsidP="0057265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572657">
        <w:rPr>
          <w:rFonts w:ascii="Times New Roman" w:hAnsi="Times New Roman"/>
        </w:rPr>
        <w:t>Podstata rozpočtového a mimorozpočtového hospodárenia verejnej vlády. Ciele a nástroje rozpočtovej politiky. Financie tretieho sektora. Financie obyvateľstva.</w:t>
      </w:r>
    </w:p>
    <w:p w14:paraId="5F131A25" w14:textId="1FD469FD" w:rsidR="00572657" w:rsidRPr="00572657" w:rsidRDefault="00572657" w:rsidP="00572657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 w:rsidRPr="00572657">
        <w:rPr>
          <w:rFonts w:ascii="Times New Roman" w:hAnsi="Times New Roman"/>
        </w:rPr>
        <w:t>Medzinárodné financie. Devízový kurz a devízová politika. Základná charakteristika Medzinárodného menového fondu a Medzinárodnej banky pre obnovu a rozvoj (ciele, úlohy, organizácia a riadenie).</w:t>
      </w:r>
    </w:p>
    <w:p w14:paraId="7A43FEAE" w14:textId="77777777" w:rsidR="00572657" w:rsidRPr="00572657" w:rsidRDefault="00572657" w:rsidP="00572657">
      <w:pPr>
        <w:spacing w:after="120" w:line="240" w:lineRule="exact"/>
        <w:ind w:left="357"/>
        <w:jc w:val="both"/>
        <w:rPr>
          <w:rFonts w:ascii="Times New Roman" w:hAnsi="Times New Roman"/>
        </w:rPr>
      </w:pPr>
      <w:bookmarkStart w:id="0" w:name="_GoBack"/>
      <w:bookmarkEnd w:id="0"/>
    </w:p>
    <w:p w14:paraId="13070D78" w14:textId="77777777" w:rsidR="00262C47" w:rsidRPr="00762A1C" w:rsidRDefault="00262C47" w:rsidP="00262C47">
      <w:pPr>
        <w:spacing w:before="24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10D189" w14:textId="77777777" w:rsidR="00262C47" w:rsidRPr="00651926" w:rsidRDefault="00262C47" w:rsidP="00262C47">
      <w:pPr>
        <w:spacing w:after="120" w:line="240" w:lineRule="exact"/>
        <w:jc w:val="both"/>
        <w:rPr>
          <w:rFonts w:ascii="Times New Roman" w:hAnsi="Times New Roman"/>
        </w:rPr>
      </w:pPr>
    </w:p>
    <w:p w14:paraId="14E373BD" w14:textId="77777777" w:rsidR="00560A73" w:rsidRPr="00651926" w:rsidRDefault="00560A73" w:rsidP="00651926">
      <w:pPr>
        <w:spacing w:after="120" w:line="240" w:lineRule="exact"/>
        <w:ind w:left="714" w:hanging="357"/>
        <w:jc w:val="both"/>
        <w:rPr>
          <w:rFonts w:ascii="Times New Roman" w:hAnsi="Times New Roman"/>
        </w:rPr>
      </w:pPr>
    </w:p>
    <w:p w14:paraId="18B1CAB9" w14:textId="65D67D29" w:rsidR="002A4AC6" w:rsidRPr="00651926" w:rsidRDefault="002A4AC6" w:rsidP="00651926">
      <w:pPr>
        <w:spacing w:after="120" w:line="240" w:lineRule="exact"/>
        <w:ind w:left="714" w:hanging="357"/>
        <w:jc w:val="both"/>
        <w:rPr>
          <w:rFonts w:ascii="Times New Roman" w:hAnsi="Times New Roman"/>
        </w:rPr>
      </w:pPr>
    </w:p>
    <w:sectPr w:rsidR="002A4AC6" w:rsidRPr="0065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94AE52D8"/>
    <w:lvl w:ilvl="0" w:tplc="9A5C3F52">
      <w:start w:val="16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A11BAE"/>
    <w:multiLevelType w:val="hybridMultilevel"/>
    <w:tmpl w:val="38E636B6"/>
    <w:lvl w:ilvl="0" w:tplc="041B000F">
      <w:start w:val="1"/>
      <w:numFmt w:val="decimal"/>
      <w:lvlText w:val="%1."/>
      <w:lvlJc w:val="left"/>
      <w:pPr>
        <w:ind w:left="19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7DC"/>
    <w:multiLevelType w:val="hybridMultilevel"/>
    <w:tmpl w:val="55A85E4C"/>
    <w:lvl w:ilvl="0" w:tplc="EB723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5693"/>
    <w:multiLevelType w:val="hybridMultilevel"/>
    <w:tmpl w:val="6BEA6F12"/>
    <w:lvl w:ilvl="0" w:tplc="3A44AC3E">
      <w:start w:val="20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B7"/>
    <w:rsid w:val="0009769B"/>
    <w:rsid w:val="001420A0"/>
    <w:rsid w:val="00151B00"/>
    <w:rsid w:val="00242CC1"/>
    <w:rsid w:val="00262C47"/>
    <w:rsid w:val="00273EE4"/>
    <w:rsid w:val="002A3E12"/>
    <w:rsid w:val="002A4AC6"/>
    <w:rsid w:val="00323F5E"/>
    <w:rsid w:val="003932B7"/>
    <w:rsid w:val="003D7458"/>
    <w:rsid w:val="003E2F31"/>
    <w:rsid w:val="00404C48"/>
    <w:rsid w:val="00427367"/>
    <w:rsid w:val="004330ED"/>
    <w:rsid w:val="00560A73"/>
    <w:rsid w:val="00572657"/>
    <w:rsid w:val="005821C3"/>
    <w:rsid w:val="00651926"/>
    <w:rsid w:val="007C7D6B"/>
    <w:rsid w:val="00890646"/>
    <w:rsid w:val="008F7D9C"/>
    <w:rsid w:val="009A0D72"/>
    <w:rsid w:val="00A21BC0"/>
    <w:rsid w:val="00A449E8"/>
    <w:rsid w:val="00AB56C1"/>
    <w:rsid w:val="00BE37D3"/>
    <w:rsid w:val="00CA3A91"/>
    <w:rsid w:val="00D028D1"/>
    <w:rsid w:val="00DB11E7"/>
    <w:rsid w:val="00E03C27"/>
    <w:rsid w:val="00F16B26"/>
    <w:rsid w:val="00F631D5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3F57"/>
  <w15:chartTrackingRefBased/>
  <w15:docId w15:val="{6250BA2D-1022-47DD-8CF7-701B1B5A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2B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106A-DFBB-490B-8255-72C30290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Neubauer</dc:creator>
  <cp:keywords/>
  <dc:description/>
  <cp:lastModifiedBy>Andrea Valachová | NHF EU v Bratislave</cp:lastModifiedBy>
  <cp:revision>10</cp:revision>
  <cp:lastPrinted>2018-03-26T05:15:00Z</cp:lastPrinted>
  <dcterms:created xsi:type="dcterms:W3CDTF">2019-05-13T08:13:00Z</dcterms:created>
  <dcterms:modified xsi:type="dcterms:W3CDTF">2020-04-07T08:38:00Z</dcterms:modified>
</cp:coreProperties>
</file>